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776"/>
        <w:gridCol w:w="1584"/>
      </w:tblGrid>
      <w:tr w:rsidR="00A11BFB" w:rsidTr="00877267">
        <w:trPr>
          <w:trHeight w:val="918"/>
        </w:trPr>
        <w:tc>
          <w:tcPr>
            <w:tcW w:w="8395" w:type="dxa"/>
          </w:tcPr>
          <w:p w:rsidR="00A11BFB" w:rsidRPr="001B5C60" w:rsidRDefault="001B5C60" w:rsidP="006B2D75">
            <w:pPr>
              <w:pStyle w:val="Header"/>
              <w:jc w:val="right"/>
              <w:rPr>
                <w:rFonts w:asciiTheme="majorHAnsi" w:eastAsiaTheme="majorEastAsia" w:hAnsiTheme="majorHAnsi" w:cstheme="majorBidi"/>
                <w:sz w:val="56"/>
                <w:szCs w:val="36"/>
              </w:rPr>
            </w:pPr>
            <w:r w:rsidRPr="001B5C60">
              <w:rPr>
                <w:rFonts w:asciiTheme="majorHAnsi" w:eastAsiaTheme="majorEastAsia" w:hAnsiTheme="majorHAnsi" w:cstheme="majorBidi"/>
                <w:sz w:val="56"/>
                <w:szCs w:val="96"/>
              </w:rPr>
              <w:t xml:space="preserve">Wet Lab </w:t>
            </w:r>
            <w:sdt>
              <w:sdtPr>
                <w:rPr>
                  <w:rFonts w:asciiTheme="majorHAnsi" w:eastAsiaTheme="majorEastAsia" w:hAnsiTheme="majorHAnsi" w:cstheme="majorBidi"/>
                  <w:sz w:val="56"/>
                  <w:szCs w:val="96"/>
                </w:rPr>
                <w:alias w:val="Title"/>
                <w:id w:val="77761602"/>
                <w:placeholder>
                  <w:docPart w:val="3F23EE13825246EFBD34144DB5FA692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A11BFB" w:rsidRPr="001B5C60">
                  <w:rPr>
                    <w:rFonts w:asciiTheme="majorHAnsi" w:eastAsiaTheme="majorEastAsia" w:hAnsiTheme="majorHAnsi" w:cstheme="majorBidi"/>
                    <w:sz w:val="56"/>
                    <w:szCs w:val="96"/>
                  </w:rPr>
                  <w:t>Rent for Space</w:t>
                </w:r>
                <w:r w:rsidR="00861C21" w:rsidRPr="001B5C60">
                  <w:rPr>
                    <w:rFonts w:asciiTheme="majorHAnsi" w:eastAsiaTheme="majorEastAsia" w:hAnsiTheme="majorHAnsi" w:cstheme="majorBidi"/>
                    <w:sz w:val="56"/>
                    <w:szCs w:val="96"/>
                  </w:rPr>
                  <w:t xml:space="preserve">  101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alias w:val="Year"/>
            <w:id w:val="77761609"/>
            <w:placeholder>
              <w:docPart w:val="F4A35766298447DCBA54B36B10629CB2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95" w:type="dxa"/>
              </w:tcPr>
              <w:p w:rsidR="00A11BFB" w:rsidRDefault="00861C21" w:rsidP="00861C21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</w:rPr>
                  <w:t>FY20 Updates</w:t>
                </w:r>
              </w:p>
            </w:tc>
          </w:sdtContent>
        </w:sdt>
      </w:tr>
    </w:tbl>
    <w:p w:rsidR="009758DF" w:rsidRPr="009758DF" w:rsidRDefault="009758DF" w:rsidP="009758DF">
      <w:pPr>
        <w:spacing w:after="0"/>
        <w:rPr>
          <w:sz w:val="20"/>
          <w:szCs w:val="48"/>
        </w:rPr>
      </w:pPr>
      <w:r>
        <w:rPr>
          <w:sz w:val="20"/>
          <w:szCs w:val="48"/>
        </w:rPr>
        <w:t>Revised</w:t>
      </w:r>
      <w:r w:rsidRPr="009758DF">
        <w:rPr>
          <w:sz w:val="20"/>
          <w:szCs w:val="48"/>
        </w:rPr>
        <w:t xml:space="preserve"> A</w:t>
      </w:r>
      <w:r w:rsidR="00D47991">
        <w:rPr>
          <w:sz w:val="20"/>
          <w:szCs w:val="48"/>
        </w:rPr>
        <w:t>pril 2020</w:t>
      </w:r>
    </w:p>
    <w:p w:rsidR="004A533A" w:rsidRPr="00877267" w:rsidRDefault="00BF66BC" w:rsidP="00B60C41">
      <w:pPr>
        <w:rPr>
          <w:rFonts w:ascii="Calibri" w:hAnsi="Calibri" w:cs="Calibri"/>
          <w:i/>
          <w:sz w:val="16"/>
        </w:rPr>
      </w:pPr>
      <w:r w:rsidRPr="00877267">
        <w:rPr>
          <w:b/>
          <w:sz w:val="36"/>
          <w:szCs w:val="48"/>
        </w:rPr>
        <w:t>Overview</w:t>
      </w:r>
    </w:p>
    <w:p w:rsidR="006B2D75" w:rsidRDefault="004442F6" w:rsidP="008446F3">
      <w:pPr>
        <w:rPr>
          <w:sz w:val="24"/>
          <w:szCs w:val="24"/>
        </w:rPr>
      </w:pPr>
      <w:r>
        <w:rPr>
          <w:sz w:val="24"/>
          <w:szCs w:val="24"/>
        </w:rPr>
        <w:t>In</w:t>
      </w:r>
      <w:r w:rsidR="006B2D75">
        <w:rPr>
          <w:sz w:val="24"/>
          <w:szCs w:val="24"/>
        </w:rPr>
        <w:t xml:space="preserve"> FY20, an updated </w:t>
      </w:r>
      <w:r w:rsidR="00036356">
        <w:rPr>
          <w:sz w:val="24"/>
          <w:szCs w:val="24"/>
        </w:rPr>
        <w:t xml:space="preserve">wet lab </w:t>
      </w:r>
      <w:r w:rsidR="00BA0B0B">
        <w:rPr>
          <w:sz w:val="24"/>
          <w:szCs w:val="24"/>
        </w:rPr>
        <w:t xml:space="preserve">Rent for Space model </w:t>
      </w:r>
      <w:r>
        <w:rPr>
          <w:sz w:val="24"/>
          <w:szCs w:val="24"/>
        </w:rPr>
        <w:t>replaced</w:t>
      </w:r>
      <w:r w:rsidR="00BA0B0B">
        <w:rPr>
          <w:sz w:val="24"/>
          <w:szCs w:val="24"/>
        </w:rPr>
        <w:t xml:space="preserve"> </w:t>
      </w:r>
      <w:r w:rsidR="006B2D75">
        <w:rPr>
          <w:sz w:val="24"/>
          <w:szCs w:val="24"/>
        </w:rPr>
        <w:t xml:space="preserve">the </w:t>
      </w:r>
      <w:r w:rsidR="00036356">
        <w:rPr>
          <w:sz w:val="24"/>
          <w:szCs w:val="24"/>
        </w:rPr>
        <w:t>previous</w:t>
      </w:r>
      <w:r>
        <w:rPr>
          <w:sz w:val="24"/>
          <w:szCs w:val="24"/>
        </w:rPr>
        <w:t xml:space="preserve"> wet lab rent</w:t>
      </w:r>
      <w:r w:rsidR="006B2D75">
        <w:rPr>
          <w:sz w:val="24"/>
          <w:szCs w:val="24"/>
        </w:rPr>
        <w:t xml:space="preserve"> model</w:t>
      </w:r>
      <w:r w:rsidR="00AE493E">
        <w:rPr>
          <w:sz w:val="24"/>
          <w:szCs w:val="24"/>
        </w:rPr>
        <w:t>.</w:t>
      </w:r>
      <w:r w:rsidR="003A1AEF">
        <w:rPr>
          <w:sz w:val="24"/>
          <w:szCs w:val="24"/>
        </w:rPr>
        <w:t xml:space="preserve"> </w:t>
      </w:r>
      <w:r w:rsidR="006B2D75">
        <w:rPr>
          <w:sz w:val="24"/>
          <w:szCs w:val="24"/>
        </w:rPr>
        <w:t xml:space="preserve">This </w:t>
      </w:r>
      <w:r w:rsidR="00DF62BE">
        <w:rPr>
          <w:sz w:val="24"/>
          <w:szCs w:val="24"/>
        </w:rPr>
        <w:t xml:space="preserve">new </w:t>
      </w:r>
      <w:r w:rsidR="00036356">
        <w:rPr>
          <w:sz w:val="24"/>
          <w:szCs w:val="24"/>
        </w:rPr>
        <w:t>model</w:t>
      </w:r>
      <w:r w:rsidR="00DF62BE">
        <w:rPr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 w:rsidR="006B2D75">
        <w:rPr>
          <w:sz w:val="24"/>
          <w:szCs w:val="24"/>
        </w:rPr>
        <w:t xml:space="preserve"> phase one of th</w:t>
      </w:r>
      <w:bookmarkStart w:id="0" w:name="_GoBack"/>
      <w:bookmarkEnd w:id="0"/>
      <w:r w:rsidR="006B2D75">
        <w:rPr>
          <w:sz w:val="24"/>
          <w:szCs w:val="24"/>
        </w:rPr>
        <w:t>ree that will</w:t>
      </w:r>
      <w:r w:rsidR="00861C21">
        <w:rPr>
          <w:sz w:val="24"/>
          <w:szCs w:val="24"/>
        </w:rPr>
        <w:t xml:space="preserve"> eventually</w:t>
      </w:r>
      <w:r w:rsidR="006B2D75">
        <w:rPr>
          <w:sz w:val="24"/>
          <w:szCs w:val="24"/>
        </w:rPr>
        <w:t xml:space="preserve"> include all space across the School of Medicine. </w:t>
      </w:r>
    </w:p>
    <w:p w:rsidR="00036356" w:rsidRDefault="00BA0B0B" w:rsidP="008446F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6356">
        <w:rPr>
          <w:sz w:val="24"/>
          <w:szCs w:val="24"/>
        </w:rPr>
        <w:t xml:space="preserve">Once fully implemented, the new model will be </w:t>
      </w:r>
      <w:r w:rsidR="00C12CE6">
        <w:rPr>
          <w:sz w:val="24"/>
          <w:szCs w:val="24"/>
        </w:rPr>
        <w:t xml:space="preserve">a </w:t>
      </w:r>
      <w:r w:rsidR="00AE493E">
        <w:rPr>
          <w:sz w:val="24"/>
          <w:szCs w:val="24"/>
        </w:rPr>
        <w:t>cost-</w:t>
      </w:r>
      <w:r w:rsidR="006A3F91">
        <w:rPr>
          <w:sz w:val="24"/>
          <w:szCs w:val="24"/>
        </w:rPr>
        <w:t>recovery</w:t>
      </w:r>
      <w:r w:rsidR="00C12CE6">
        <w:rPr>
          <w:sz w:val="24"/>
          <w:szCs w:val="24"/>
        </w:rPr>
        <w:t xml:space="preserve"> model</w:t>
      </w:r>
      <w:r w:rsidR="00DF008A">
        <w:rPr>
          <w:sz w:val="24"/>
          <w:szCs w:val="24"/>
        </w:rPr>
        <w:t>, meaning rent</w:t>
      </w:r>
      <w:r w:rsidR="00DF62BE">
        <w:rPr>
          <w:sz w:val="24"/>
          <w:szCs w:val="24"/>
        </w:rPr>
        <w:t xml:space="preserve"> </w:t>
      </w:r>
      <w:r w:rsidR="00036356">
        <w:rPr>
          <w:sz w:val="24"/>
          <w:szCs w:val="24"/>
        </w:rPr>
        <w:t>will be</w:t>
      </w:r>
      <w:r w:rsidR="00C12CE6">
        <w:rPr>
          <w:sz w:val="24"/>
          <w:szCs w:val="24"/>
        </w:rPr>
        <w:t xml:space="preserve"> based </w:t>
      </w:r>
      <w:r w:rsidR="00DF62BE">
        <w:rPr>
          <w:sz w:val="24"/>
          <w:szCs w:val="24"/>
        </w:rPr>
        <w:t xml:space="preserve">on </w:t>
      </w:r>
      <w:r w:rsidR="0032566E">
        <w:rPr>
          <w:sz w:val="24"/>
          <w:szCs w:val="24"/>
        </w:rPr>
        <w:t>the cost of space, including</w:t>
      </w:r>
      <w:r w:rsidR="00DF008A">
        <w:rPr>
          <w:sz w:val="24"/>
          <w:szCs w:val="24"/>
        </w:rPr>
        <w:t xml:space="preserve"> </w:t>
      </w:r>
      <w:r w:rsidR="00DF62BE">
        <w:rPr>
          <w:sz w:val="24"/>
          <w:szCs w:val="24"/>
        </w:rPr>
        <w:t xml:space="preserve">operations and </w:t>
      </w:r>
      <w:r w:rsidR="00036356">
        <w:rPr>
          <w:sz w:val="24"/>
          <w:szCs w:val="24"/>
        </w:rPr>
        <w:t xml:space="preserve">maintenance (O&amp;M) costs and </w:t>
      </w:r>
      <w:r w:rsidR="00DB497A">
        <w:rPr>
          <w:sz w:val="24"/>
          <w:szCs w:val="24"/>
        </w:rPr>
        <w:t>a percentage</w:t>
      </w:r>
      <w:r w:rsidR="00036356">
        <w:rPr>
          <w:sz w:val="24"/>
          <w:szCs w:val="24"/>
        </w:rPr>
        <w:t xml:space="preserve"> of the Current Replacement Value of buildings in </w:t>
      </w:r>
      <w:r w:rsidR="00AE493E">
        <w:rPr>
          <w:sz w:val="24"/>
          <w:szCs w:val="24"/>
        </w:rPr>
        <w:t xml:space="preserve">place </w:t>
      </w:r>
      <w:r w:rsidR="00036356">
        <w:rPr>
          <w:sz w:val="24"/>
          <w:szCs w:val="24"/>
        </w:rPr>
        <w:t>of depreciation</w:t>
      </w:r>
      <w:r w:rsidR="00BF66BC">
        <w:rPr>
          <w:sz w:val="24"/>
          <w:szCs w:val="24"/>
        </w:rPr>
        <w:t xml:space="preserve">.  </w:t>
      </w:r>
    </w:p>
    <w:p w:rsidR="00036356" w:rsidRPr="00AC0076" w:rsidRDefault="00AC0076" w:rsidP="008446F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Rent for Space Phase 1</w:t>
      </w:r>
      <w:r w:rsidR="003B043C">
        <w:rPr>
          <w:b/>
          <w:sz w:val="28"/>
          <w:szCs w:val="28"/>
        </w:rPr>
        <w:t xml:space="preserve"> – Wet Lab</w:t>
      </w:r>
    </w:p>
    <w:p w:rsidR="003B043C" w:rsidRPr="003B043C" w:rsidRDefault="003B043C" w:rsidP="003B043C">
      <w:pPr>
        <w:pStyle w:val="ListParagraph"/>
        <w:numPr>
          <w:ilvl w:val="0"/>
          <w:numId w:val="23"/>
        </w:numPr>
        <w:rPr>
          <w:rFonts w:ascii="Calibri" w:hAnsi="Calibri" w:cs="Calibri"/>
        </w:rPr>
      </w:pPr>
      <w:r w:rsidRPr="003B043C">
        <w:rPr>
          <w:rFonts w:ascii="Calibri" w:hAnsi="Calibri" w:cs="Calibri"/>
        </w:rPr>
        <w:t>D</w:t>
      </w:r>
      <w:r w:rsidR="00861C21" w:rsidRPr="003B043C">
        <w:rPr>
          <w:rFonts w:ascii="Calibri" w:hAnsi="Calibri" w:cs="Calibri"/>
        </w:rPr>
        <w:t>esigned to provide an economic incentive for using space productively or relinquishing space when</w:t>
      </w:r>
      <w:r w:rsidRPr="003B043C">
        <w:rPr>
          <w:rFonts w:ascii="Calibri" w:hAnsi="Calibri" w:cs="Calibri"/>
        </w:rPr>
        <w:t xml:space="preserve"> there is no near-term use</w:t>
      </w:r>
    </w:p>
    <w:p w:rsidR="00861C21" w:rsidRPr="003B043C" w:rsidRDefault="003B043C" w:rsidP="003B043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3B043C">
        <w:rPr>
          <w:rFonts w:ascii="Calibri" w:hAnsi="Calibri" w:cs="Calibri"/>
        </w:rPr>
        <w:t>C</w:t>
      </w:r>
      <w:r w:rsidR="00861C21" w:rsidRPr="003B043C">
        <w:rPr>
          <w:rFonts w:ascii="Calibri" w:hAnsi="Calibri" w:cs="Calibri"/>
        </w:rPr>
        <w:t>harges rent for wet lab space and return</w:t>
      </w:r>
      <w:r w:rsidR="00DB497A">
        <w:rPr>
          <w:rFonts w:ascii="Calibri" w:hAnsi="Calibri" w:cs="Calibri"/>
        </w:rPr>
        <w:t>s</w:t>
      </w:r>
      <w:r w:rsidR="00861C21" w:rsidRPr="003B043C">
        <w:rPr>
          <w:rFonts w:ascii="Calibri" w:hAnsi="Calibri" w:cs="Calibri"/>
        </w:rPr>
        <w:t xml:space="preserve"> a portion of F&amp;A funds supporting wet lab research to the departments to pay for it. </w:t>
      </w:r>
    </w:p>
    <w:p w:rsidR="00224E79" w:rsidRPr="004B0E95" w:rsidRDefault="00224E79" w:rsidP="00861C21">
      <w:pPr>
        <w:pStyle w:val="ListParagraph"/>
        <w:numPr>
          <w:ilvl w:val="0"/>
          <w:numId w:val="19"/>
        </w:numPr>
        <w:rPr>
          <w:szCs w:val="24"/>
        </w:rPr>
      </w:pPr>
      <w:r w:rsidRPr="004B0E95">
        <w:rPr>
          <w:szCs w:val="24"/>
        </w:rPr>
        <w:t>Departments</w:t>
      </w:r>
      <w:r w:rsidR="00AE493E">
        <w:rPr>
          <w:szCs w:val="24"/>
        </w:rPr>
        <w:t>, where the value of the rent exceeds the allocation of indirect dollars,</w:t>
      </w:r>
      <w:r w:rsidR="007C351F" w:rsidRPr="004B0E95">
        <w:rPr>
          <w:szCs w:val="24"/>
        </w:rPr>
        <w:t xml:space="preserve"> pay a net rent </w:t>
      </w:r>
    </w:p>
    <w:p w:rsidR="00224E79" w:rsidRPr="004B0E95" w:rsidRDefault="00224E79" w:rsidP="00836DEF">
      <w:pPr>
        <w:pStyle w:val="ListParagraph"/>
        <w:numPr>
          <w:ilvl w:val="0"/>
          <w:numId w:val="19"/>
        </w:numPr>
        <w:rPr>
          <w:szCs w:val="24"/>
        </w:rPr>
      </w:pPr>
      <w:r w:rsidRPr="004B0E95">
        <w:rPr>
          <w:szCs w:val="24"/>
        </w:rPr>
        <w:t>Departments</w:t>
      </w:r>
      <w:r w:rsidR="00AE493E">
        <w:rPr>
          <w:szCs w:val="24"/>
        </w:rPr>
        <w:t>, where the allocation of indirect dollars exceeds the value of the rents,</w:t>
      </w:r>
      <w:r w:rsidRPr="004B0E95">
        <w:rPr>
          <w:szCs w:val="24"/>
        </w:rPr>
        <w:t xml:space="preserve"> </w:t>
      </w:r>
      <w:r w:rsidR="00CE79DE" w:rsidRPr="004B0E95">
        <w:rPr>
          <w:szCs w:val="24"/>
        </w:rPr>
        <w:t>k</w:t>
      </w:r>
      <w:r w:rsidR="00AC447F" w:rsidRPr="004B0E95">
        <w:rPr>
          <w:szCs w:val="24"/>
        </w:rPr>
        <w:t>eep the difference as a profit</w:t>
      </w:r>
    </w:p>
    <w:p w:rsidR="00224E79" w:rsidRPr="004B0E95" w:rsidRDefault="00E92ADD" w:rsidP="00836DEF">
      <w:pPr>
        <w:pStyle w:val="ListParagraph"/>
        <w:numPr>
          <w:ilvl w:val="0"/>
          <w:numId w:val="19"/>
        </w:numPr>
        <w:rPr>
          <w:szCs w:val="24"/>
        </w:rPr>
      </w:pPr>
      <w:r w:rsidRPr="004B0E95">
        <w:rPr>
          <w:szCs w:val="24"/>
        </w:rPr>
        <w:t xml:space="preserve">The Dean </w:t>
      </w:r>
      <w:r w:rsidR="00AC447F" w:rsidRPr="004B0E95">
        <w:rPr>
          <w:szCs w:val="24"/>
        </w:rPr>
        <w:t>manages</w:t>
      </w:r>
      <w:r w:rsidR="002A1B22" w:rsidRPr="004B0E95">
        <w:rPr>
          <w:szCs w:val="24"/>
        </w:rPr>
        <w:t xml:space="preserve"> and pays </w:t>
      </w:r>
      <w:r w:rsidR="004B0E95">
        <w:rPr>
          <w:szCs w:val="24"/>
        </w:rPr>
        <w:t>for the</w:t>
      </w:r>
      <w:r w:rsidR="00224E79" w:rsidRPr="004B0E95">
        <w:rPr>
          <w:szCs w:val="24"/>
        </w:rPr>
        <w:t xml:space="preserve"> </w:t>
      </w:r>
      <w:r w:rsidR="00E2526C">
        <w:rPr>
          <w:szCs w:val="24"/>
        </w:rPr>
        <w:t>'</w:t>
      </w:r>
      <w:r w:rsidR="00224E79" w:rsidRPr="004B0E95">
        <w:rPr>
          <w:szCs w:val="24"/>
        </w:rPr>
        <w:t xml:space="preserve">Space </w:t>
      </w:r>
      <w:r w:rsidR="00E2526C" w:rsidRPr="004B0E95">
        <w:rPr>
          <w:szCs w:val="24"/>
        </w:rPr>
        <w:t>Bank</w:t>
      </w:r>
      <w:r w:rsidR="00E2526C">
        <w:rPr>
          <w:szCs w:val="24"/>
        </w:rPr>
        <w:t>'</w:t>
      </w:r>
      <w:r w:rsidR="00E2526C" w:rsidRPr="004B0E95">
        <w:rPr>
          <w:szCs w:val="24"/>
        </w:rPr>
        <w:t xml:space="preserve"> </w:t>
      </w:r>
      <w:r w:rsidR="00224E79" w:rsidRPr="004B0E95">
        <w:rPr>
          <w:szCs w:val="24"/>
        </w:rPr>
        <w:t xml:space="preserve">to a seven percent vacancy factor. </w:t>
      </w:r>
    </w:p>
    <w:p w:rsidR="00224E79" w:rsidRPr="004B0E95" w:rsidRDefault="00224E79" w:rsidP="00836DEF">
      <w:pPr>
        <w:pStyle w:val="ListParagraph"/>
        <w:numPr>
          <w:ilvl w:val="1"/>
          <w:numId w:val="19"/>
        </w:numPr>
        <w:rPr>
          <w:szCs w:val="24"/>
        </w:rPr>
      </w:pPr>
      <w:r w:rsidRPr="004B0E95">
        <w:rPr>
          <w:szCs w:val="24"/>
        </w:rPr>
        <w:t xml:space="preserve">If the vacant space is greater than seven percent, the Dean </w:t>
      </w:r>
      <w:r w:rsidR="00CE79DE" w:rsidRPr="004B0E95">
        <w:rPr>
          <w:szCs w:val="24"/>
        </w:rPr>
        <w:t>is at risk for the rent</w:t>
      </w:r>
    </w:p>
    <w:p w:rsidR="00AC447F" w:rsidRPr="004B0E95" w:rsidRDefault="00AC447F" w:rsidP="00AC447F">
      <w:pPr>
        <w:pStyle w:val="ListParagraph"/>
        <w:numPr>
          <w:ilvl w:val="0"/>
          <w:numId w:val="19"/>
        </w:numPr>
        <w:rPr>
          <w:szCs w:val="24"/>
        </w:rPr>
      </w:pPr>
      <w:r w:rsidRPr="004B0E95">
        <w:rPr>
          <w:szCs w:val="24"/>
        </w:rPr>
        <w:t xml:space="preserve">The </w:t>
      </w:r>
      <w:r w:rsidR="00DB497A">
        <w:rPr>
          <w:szCs w:val="24"/>
        </w:rPr>
        <w:t xml:space="preserve">EF </w:t>
      </w:r>
      <w:r w:rsidRPr="004B0E95">
        <w:rPr>
          <w:szCs w:val="24"/>
        </w:rPr>
        <w:t xml:space="preserve">Space Committee </w:t>
      </w:r>
      <w:r w:rsidR="00DB497A">
        <w:rPr>
          <w:szCs w:val="24"/>
        </w:rPr>
        <w:t>serves as an advisory panel on the</w:t>
      </w:r>
      <w:r w:rsidRPr="004B0E95">
        <w:rPr>
          <w:szCs w:val="24"/>
        </w:rPr>
        <w:t xml:space="preserve"> policy and its implementation</w:t>
      </w:r>
    </w:p>
    <w:p w:rsidR="00BF66BC" w:rsidRPr="00E2697A" w:rsidRDefault="00E2697A" w:rsidP="008446F3">
      <w:pPr>
        <w:rPr>
          <w:b/>
          <w:sz w:val="28"/>
          <w:szCs w:val="28"/>
        </w:rPr>
      </w:pPr>
      <w:r w:rsidRPr="00E2697A">
        <w:rPr>
          <w:b/>
          <w:sz w:val="28"/>
          <w:szCs w:val="28"/>
        </w:rPr>
        <w:t xml:space="preserve">What is </w:t>
      </w:r>
      <w:r w:rsidR="00E2526C">
        <w:rPr>
          <w:b/>
          <w:sz w:val="28"/>
          <w:szCs w:val="28"/>
        </w:rPr>
        <w:t>"</w:t>
      </w:r>
      <w:r w:rsidRPr="00E2697A">
        <w:rPr>
          <w:b/>
          <w:sz w:val="28"/>
          <w:szCs w:val="28"/>
        </w:rPr>
        <w:t>Lab Space</w:t>
      </w:r>
      <w:r w:rsidR="00E2526C">
        <w:rPr>
          <w:b/>
          <w:sz w:val="28"/>
          <w:szCs w:val="28"/>
        </w:rPr>
        <w:t xml:space="preserve">"?  </w:t>
      </w:r>
      <w:r>
        <w:rPr>
          <w:b/>
          <w:sz w:val="28"/>
          <w:szCs w:val="28"/>
        </w:rPr>
        <w:t>R</w:t>
      </w:r>
      <w:r w:rsidR="00BF66BC" w:rsidRPr="00E2697A">
        <w:rPr>
          <w:b/>
          <w:sz w:val="28"/>
          <w:szCs w:val="28"/>
        </w:rPr>
        <w:t>oom</w:t>
      </w:r>
      <w:r w:rsidRPr="00E2697A">
        <w:rPr>
          <w:b/>
          <w:sz w:val="28"/>
          <w:szCs w:val="28"/>
        </w:rPr>
        <w:t xml:space="preserve"> types included in </w:t>
      </w:r>
      <w:r w:rsidR="00AC0076">
        <w:rPr>
          <w:b/>
          <w:sz w:val="28"/>
          <w:szCs w:val="28"/>
        </w:rPr>
        <w:t xml:space="preserve">phase one of </w:t>
      </w:r>
      <w:r w:rsidRPr="00E2697A">
        <w:rPr>
          <w:b/>
          <w:sz w:val="28"/>
          <w:szCs w:val="28"/>
        </w:rPr>
        <w:t>the model</w:t>
      </w:r>
      <w:r w:rsidR="00BF66BC" w:rsidRPr="00E2697A">
        <w:rPr>
          <w:b/>
          <w:sz w:val="28"/>
          <w:szCs w:val="28"/>
        </w:rPr>
        <w:t>:</w:t>
      </w:r>
    </w:p>
    <w:p w:rsidR="00D43F91" w:rsidRDefault="00176E21" w:rsidP="00B151B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8A94E7" wp14:editId="51E9A8EC">
            <wp:extent cx="5610225" cy="13342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24422" cy="133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F91" w:rsidRDefault="00D43F91" w:rsidP="008446F3">
      <w:pPr>
        <w:rPr>
          <w:sz w:val="24"/>
          <w:szCs w:val="24"/>
        </w:rPr>
      </w:pPr>
    </w:p>
    <w:p w:rsidR="004B0E95" w:rsidRDefault="004B0E95" w:rsidP="008446F3">
      <w:pPr>
        <w:rPr>
          <w:sz w:val="24"/>
          <w:szCs w:val="24"/>
        </w:rPr>
      </w:pPr>
    </w:p>
    <w:p w:rsidR="00A36C23" w:rsidRDefault="00A36C23" w:rsidP="00BF66BC">
      <w:pPr>
        <w:rPr>
          <w:b/>
          <w:sz w:val="28"/>
          <w:szCs w:val="28"/>
        </w:rPr>
      </w:pPr>
    </w:p>
    <w:p w:rsidR="00E2697A" w:rsidRDefault="00E2697A" w:rsidP="00BF66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Exclusions </w:t>
      </w:r>
      <w:r w:rsidR="001E6D24">
        <w:rPr>
          <w:b/>
          <w:sz w:val="28"/>
          <w:szCs w:val="28"/>
        </w:rPr>
        <w:t>from</w:t>
      </w:r>
      <w:r w:rsidRPr="00E2697A">
        <w:rPr>
          <w:b/>
          <w:sz w:val="28"/>
          <w:szCs w:val="28"/>
        </w:rPr>
        <w:t xml:space="preserve"> </w:t>
      </w:r>
      <w:r w:rsidR="00E2526C">
        <w:rPr>
          <w:b/>
          <w:sz w:val="28"/>
          <w:szCs w:val="28"/>
        </w:rPr>
        <w:t>"</w:t>
      </w:r>
      <w:r w:rsidRPr="00E2697A">
        <w:rPr>
          <w:b/>
          <w:sz w:val="28"/>
          <w:szCs w:val="28"/>
        </w:rPr>
        <w:t>Lab Space</w:t>
      </w:r>
      <w:r w:rsidR="001E6D24">
        <w:rPr>
          <w:b/>
          <w:sz w:val="28"/>
          <w:szCs w:val="28"/>
        </w:rPr>
        <w:t xml:space="preserve"> Model</w:t>
      </w:r>
      <w:r w:rsidR="00E2526C">
        <w:rPr>
          <w:b/>
          <w:sz w:val="28"/>
          <w:szCs w:val="28"/>
        </w:rPr>
        <w:t xml:space="preserve">" </w:t>
      </w:r>
      <w:r w:rsidR="001E6D24">
        <w:rPr>
          <w:b/>
          <w:sz w:val="28"/>
          <w:szCs w:val="28"/>
        </w:rPr>
        <w:t>rent</w:t>
      </w:r>
      <w:r>
        <w:rPr>
          <w:b/>
          <w:sz w:val="28"/>
          <w:szCs w:val="28"/>
        </w:rPr>
        <w:t xml:space="preserve"> </w:t>
      </w:r>
    </w:p>
    <w:p w:rsidR="00BF66BC" w:rsidRPr="00C06626" w:rsidRDefault="00AC0076" w:rsidP="00BF66BC">
      <w:pPr>
        <w:rPr>
          <w:sz w:val="24"/>
          <w:szCs w:val="24"/>
        </w:rPr>
      </w:pPr>
      <w:r>
        <w:rPr>
          <w:sz w:val="24"/>
          <w:szCs w:val="24"/>
        </w:rPr>
        <w:t>In phase one, t</w:t>
      </w:r>
      <w:r w:rsidR="00BF66BC" w:rsidRPr="00C06626">
        <w:rPr>
          <w:sz w:val="24"/>
          <w:szCs w:val="24"/>
        </w:rPr>
        <w:t xml:space="preserve">he model </w:t>
      </w:r>
      <w:r w:rsidR="001E6D24" w:rsidRPr="00C06626">
        <w:rPr>
          <w:sz w:val="24"/>
          <w:szCs w:val="24"/>
        </w:rPr>
        <w:t>exclude</w:t>
      </w:r>
      <w:r w:rsidR="00CE79DE">
        <w:rPr>
          <w:sz w:val="24"/>
          <w:szCs w:val="24"/>
        </w:rPr>
        <w:t>s</w:t>
      </w:r>
      <w:r w:rsidR="001E6D24" w:rsidRPr="00C06626">
        <w:rPr>
          <w:sz w:val="24"/>
          <w:szCs w:val="24"/>
        </w:rPr>
        <w:t xml:space="preserve"> some</w:t>
      </w:r>
      <w:r w:rsidR="00BF66BC" w:rsidRPr="00C06626">
        <w:rPr>
          <w:sz w:val="24"/>
          <w:szCs w:val="24"/>
        </w:rPr>
        <w:t xml:space="preserve"> rooms</w:t>
      </w:r>
      <w:r w:rsidR="00E2697A" w:rsidRPr="00C06626">
        <w:rPr>
          <w:sz w:val="24"/>
          <w:szCs w:val="24"/>
        </w:rPr>
        <w:t xml:space="preserve"> associated with a department</w:t>
      </w:r>
      <w:r w:rsidR="001E6D24" w:rsidRPr="00C06626">
        <w:rPr>
          <w:sz w:val="24"/>
          <w:szCs w:val="24"/>
        </w:rPr>
        <w:t xml:space="preserve"> from paying rent:</w:t>
      </w:r>
    </w:p>
    <w:p w:rsidR="001E6D24" w:rsidRPr="00C06626" w:rsidRDefault="001E6D24" w:rsidP="00BF66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 xml:space="preserve">Where a </w:t>
      </w:r>
      <w:r w:rsidR="000313F3" w:rsidRPr="00C06626">
        <w:rPr>
          <w:sz w:val="24"/>
          <w:szCs w:val="24"/>
        </w:rPr>
        <w:t>D</w:t>
      </w:r>
      <w:r w:rsidR="00BF66BC" w:rsidRPr="00C06626">
        <w:rPr>
          <w:sz w:val="24"/>
          <w:szCs w:val="24"/>
        </w:rPr>
        <w:t xml:space="preserve">epartment </w:t>
      </w:r>
      <w:r w:rsidR="004B0E95">
        <w:rPr>
          <w:sz w:val="24"/>
          <w:szCs w:val="24"/>
        </w:rPr>
        <w:t>pays</w:t>
      </w:r>
      <w:r w:rsidR="00BF66BC" w:rsidRPr="00C06626">
        <w:rPr>
          <w:sz w:val="24"/>
          <w:szCs w:val="24"/>
        </w:rPr>
        <w:t xml:space="preserve"> rent through a </w:t>
      </w:r>
      <w:r w:rsidR="000313F3" w:rsidRPr="00C06626">
        <w:rPr>
          <w:sz w:val="24"/>
          <w:szCs w:val="24"/>
        </w:rPr>
        <w:t>separate lease</w:t>
      </w:r>
    </w:p>
    <w:p w:rsidR="001E6D24" w:rsidRPr="00B738AC" w:rsidRDefault="00E2697A" w:rsidP="00B738AC">
      <w:pPr>
        <w:pStyle w:val="NormalWeb"/>
        <w:kinsoku w:val="0"/>
        <w:overflowPunct w:val="0"/>
        <w:spacing w:before="134" w:beforeAutospacing="0" w:after="0" w:afterAutospacing="0"/>
        <w:textAlignment w:val="baseline"/>
      </w:pPr>
      <w:r w:rsidRPr="00C06626">
        <w:t xml:space="preserve">Any </w:t>
      </w:r>
      <w:r w:rsidR="00C540B0">
        <w:t xml:space="preserve">lab </w:t>
      </w:r>
      <w:r w:rsidRPr="00C06626">
        <w:t xml:space="preserve">space </w:t>
      </w:r>
      <w:r w:rsidR="00BF66BC" w:rsidRPr="00C06626">
        <w:t>coded as Patient Care (IDC code 95)</w:t>
      </w:r>
      <w:r w:rsidR="00FC55FF">
        <w:t xml:space="preserve"> as this space is in the clinical space charge</w:t>
      </w:r>
      <w:r w:rsidR="00DB497A">
        <w:t xml:space="preserve">. Future – any </w:t>
      </w:r>
      <w:r w:rsidR="00F300AA">
        <w:t xml:space="preserve">portion of a room </w:t>
      </w:r>
      <w:r w:rsidR="00DB497A">
        <w:t xml:space="preserve">coded Patient Care that falls into a wet lab category will roll into the </w:t>
      </w:r>
      <w:r w:rsidR="00B738AC">
        <w:t>on c</w:t>
      </w:r>
      <w:r w:rsidR="00A54FC9" w:rsidRPr="00B738AC">
        <w:t>ampus Ambulatory (patient care) and Office Space (office supporting clinical activities)</w:t>
      </w:r>
      <w:r w:rsidR="00DB497A" w:rsidRPr="00B738AC">
        <w:t xml:space="preserve"> Model </w:t>
      </w:r>
    </w:p>
    <w:p w:rsidR="001E6D24" w:rsidRPr="00C06626" w:rsidRDefault="00E2697A" w:rsidP="001D0F5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>Any space deemed a Core facility:</w:t>
      </w:r>
    </w:p>
    <w:p w:rsidR="00E2697A" w:rsidRPr="00C06626" w:rsidRDefault="001E6D24" w:rsidP="00E26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 xml:space="preserve">Must be a </w:t>
      </w:r>
      <w:r w:rsidR="00B60C41" w:rsidRPr="00C06626">
        <w:rPr>
          <w:sz w:val="24"/>
          <w:szCs w:val="24"/>
        </w:rPr>
        <w:t xml:space="preserve">Recharge Center with </w:t>
      </w:r>
      <w:r w:rsidR="00AE493E">
        <w:rPr>
          <w:sz w:val="24"/>
          <w:szCs w:val="24"/>
        </w:rPr>
        <w:t xml:space="preserve">three </w:t>
      </w:r>
      <w:r w:rsidR="00FC55FF">
        <w:rPr>
          <w:sz w:val="24"/>
          <w:szCs w:val="24"/>
        </w:rPr>
        <w:t>or more</w:t>
      </w:r>
      <w:r w:rsidR="00E2697A" w:rsidRPr="00C06626">
        <w:rPr>
          <w:sz w:val="24"/>
          <w:szCs w:val="24"/>
        </w:rPr>
        <w:t xml:space="preserve"> user departments</w:t>
      </w:r>
    </w:p>
    <w:p w:rsidR="00E2697A" w:rsidRDefault="001E6D24" w:rsidP="00E2697A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>Must have a</w:t>
      </w:r>
      <w:r w:rsidR="00E2697A" w:rsidRPr="00C06626">
        <w:rPr>
          <w:sz w:val="24"/>
          <w:szCs w:val="24"/>
        </w:rPr>
        <w:t>nnual billings &gt; $</w:t>
      </w:r>
      <w:r w:rsidR="00CE79DE">
        <w:rPr>
          <w:sz w:val="24"/>
          <w:szCs w:val="24"/>
        </w:rPr>
        <w:t>2</w:t>
      </w:r>
      <w:r w:rsidR="00E2697A" w:rsidRPr="00C06626">
        <w:rPr>
          <w:sz w:val="24"/>
          <w:szCs w:val="24"/>
        </w:rPr>
        <w:t>0k</w:t>
      </w:r>
    </w:p>
    <w:p w:rsidR="003A1AEF" w:rsidRPr="00C06626" w:rsidRDefault="003A1AEF" w:rsidP="00E2697A">
      <w:pPr>
        <w:pStyle w:val="ListParagraph"/>
        <w:numPr>
          <w:ilvl w:val="1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Reviewed annually by the </w:t>
      </w:r>
      <w:r w:rsidR="00DB497A">
        <w:rPr>
          <w:sz w:val="24"/>
          <w:szCs w:val="24"/>
        </w:rPr>
        <w:t xml:space="preserve">EF </w:t>
      </w:r>
      <w:r>
        <w:rPr>
          <w:sz w:val="24"/>
          <w:szCs w:val="24"/>
        </w:rPr>
        <w:t>Space Committee</w:t>
      </w:r>
    </w:p>
    <w:p w:rsidR="00576ED2" w:rsidRPr="00C06626" w:rsidRDefault="00576ED2" w:rsidP="00576ED2">
      <w:pPr>
        <w:pStyle w:val="ListParagraph"/>
        <w:ind w:left="1440"/>
        <w:rPr>
          <w:sz w:val="24"/>
          <w:szCs w:val="24"/>
        </w:rPr>
      </w:pPr>
    </w:p>
    <w:p w:rsidR="002A1B22" w:rsidRDefault="001E6D24" w:rsidP="002A1B2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 xml:space="preserve">Some Business </w:t>
      </w:r>
      <w:r w:rsidR="00576ED2" w:rsidRPr="00C06626">
        <w:rPr>
          <w:sz w:val="24"/>
          <w:szCs w:val="24"/>
        </w:rPr>
        <w:t xml:space="preserve">Units </w:t>
      </w:r>
      <w:r w:rsidRPr="00C06626">
        <w:rPr>
          <w:sz w:val="24"/>
          <w:szCs w:val="24"/>
        </w:rPr>
        <w:t xml:space="preserve">are </w:t>
      </w:r>
      <w:r w:rsidR="00AC0076">
        <w:rPr>
          <w:sz w:val="24"/>
          <w:szCs w:val="24"/>
        </w:rPr>
        <w:t>not included in this</w:t>
      </w:r>
      <w:r w:rsidR="00576ED2" w:rsidRPr="00C06626">
        <w:rPr>
          <w:sz w:val="24"/>
          <w:szCs w:val="24"/>
        </w:rPr>
        <w:t xml:space="preserve"> model</w:t>
      </w:r>
      <w:r w:rsidR="00AE493E">
        <w:rPr>
          <w:sz w:val="24"/>
          <w:szCs w:val="24"/>
        </w:rPr>
        <w:t>,</w:t>
      </w:r>
      <w:r w:rsidRPr="00C06626">
        <w:rPr>
          <w:sz w:val="24"/>
          <w:szCs w:val="24"/>
        </w:rPr>
        <w:t xml:space="preserve"> and </w:t>
      </w:r>
      <w:r w:rsidR="00AC0076">
        <w:rPr>
          <w:sz w:val="24"/>
          <w:szCs w:val="24"/>
        </w:rPr>
        <w:t>space is paid for using a different methodology</w:t>
      </w:r>
      <w:r w:rsidR="002A1B22">
        <w:rPr>
          <w:sz w:val="24"/>
          <w:szCs w:val="24"/>
        </w:rPr>
        <w:t xml:space="preserve"> (e.g., CFU departments, BJH, MGI)</w:t>
      </w:r>
      <w:r w:rsidR="00AC0076">
        <w:rPr>
          <w:sz w:val="24"/>
          <w:szCs w:val="24"/>
        </w:rPr>
        <w:t xml:space="preserve"> </w:t>
      </w:r>
      <w:r w:rsidR="002A1B22">
        <w:rPr>
          <w:sz w:val="24"/>
          <w:szCs w:val="24"/>
        </w:rPr>
        <w:t xml:space="preserve"> </w:t>
      </w:r>
    </w:p>
    <w:p w:rsidR="00A36C23" w:rsidRPr="002A1B22" w:rsidRDefault="002A1B22" w:rsidP="00A36C23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2A1B22">
        <w:rPr>
          <w:sz w:val="18"/>
          <w:szCs w:val="24"/>
        </w:rPr>
        <w:t xml:space="preserve">Note: </w:t>
      </w:r>
      <w:r w:rsidR="001E6D24" w:rsidRPr="002A1B22">
        <w:rPr>
          <w:sz w:val="18"/>
          <w:szCs w:val="24"/>
        </w:rPr>
        <w:t>The McDonnell Genome Institute has been removed from the model because the higher $$$ intensity of its space use would create a distortion reducing the IDR allocation to all the other departments.</w:t>
      </w:r>
    </w:p>
    <w:p w:rsidR="00E2697A" w:rsidRPr="00E2697A" w:rsidRDefault="001E6D24" w:rsidP="00E26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</w:t>
      </w:r>
      <w:r w:rsidR="00E2697A">
        <w:rPr>
          <w:b/>
          <w:sz w:val="28"/>
          <w:szCs w:val="28"/>
        </w:rPr>
        <w:t>Adjustment</w:t>
      </w:r>
      <w:r w:rsidR="00AE493E">
        <w:rPr>
          <w:b/>
          <w:sz w:val="28"/>
          <w:szCs w:val="28"/>
        </w:rPr>
        <w:t>s</w:t>
      </w:r>
      <w:r w:rsidR="00AC0076">
        <w:rPr>
          <w:b/>
          <w:sz w:val="28"/>
          <w:szCs w:val="28"/>
        </w:rPr>
        <w:t xml:space="preserve"> to Wet Lab Rent for Space</w:t>
      </w:r>
      <w:r w:rsidR="00E2697A" w:rsidRPr="00E2697A">
        <w:rPr>
          <w:b/>
          <w:sz w:val="28"/>
          <w:szCs w:val="28"/>
        </w:rPr>
        <w:t xml:space="preserve">  </w:t>
      </w:r>
    </w:p>
    <w:p w:rsidR="005C45D4" w:rsidRPr="00C06626" w:rsidRDefault="001E6D24" w:rsidP="00836DE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36DEF">
        <w:rPr>
          <w:b/>
          <w:sz w:val="24"/>
          <w:szCs w:val="24"/>
        </w:rPr>
        <w:t xml:space="preserve">DCM </w:t>
      </w:r>
      <w:r w:rsidR="003D2DE1" w:rsidRPr="00836DEF">
        <w:rPr>
          <w:b/>
          <w:sz w:val="24"/>
          <w:szCs w:val="24"/>
        </w:rPr>
        <w:t xml:space="preserve">space </w:t>
      </w:r>
      <w:r w:rsidRPr="00836DEF">
        <w:rPr>
          <w:b/>
          <w:sz w:val="24"/>
          <w:szCs w:val="24"/>
        </w:rPr>
        <w:t xml:space="preserve">assigned to </w:t>
      </w:r>
      <w:r w:rsidR="00E2526C" w:rsidRPr="00836DEF">
        <w:rPr>
          <w:b/>
          <w:sz w:val="24"/>
          <w:szCs w:val="24"/>
        </w:rPr>
        <w:t>PI</w:t>
      </w:r>
      <w:r w:rsidR="00E2526C">
        <w:rPr>
          <w:b/>
          <w:sz w:val="24"/>
          <w:szCs w:val="24"/>
        </w:rPr>
        <w:t>'</w:t>
      </w:r>
      <w:r w:rsidR="00E2526C" w:rsidRPr="00836DEF">
        <w:rPr>
          <w:b/>
          <w:sz w:val="24"/>
          <w:szCs w:val="24"/>
        </w:rPr>
        <w:t>s</w:t>
      </w:r>
      <w:r w:rsidR="005C45D4" w:rsidRPr="00C06626">
        <w:rPr>
          <w:b/>
          <w:sz w:val="24"/>
          <w:szCs w:val="24"/>
        </w:rPr>
        <w:t>:</w:t>
      </w:r>
      <w:r w:rsidRPr="00C06626">
        <w:rPr>
          <w:sz w:val="24"/>
          <w:szCs w:val="24"/>
        </w:rPr>
        <w:t xml:space="preserve"> </w:t>
      </w:r>
      <w:r w:rsidR="003A1AEF">
        <w:rPr>
          <w:sz w:val="24"/>
          <w:szCs w:val="24"/>
        </w:rPr>
        <w:t xml:space="preserve">This space </w:t>
      </w:r>
      <w:r w:rsidRPr="00C06626">
        <w:rPr>
          <w:sz w:val="24"/>
          <w:szCs w:val="24"/>
        </w:rPr>
        <w:t xml:space="preserve">is </w:t>
      </w:r>
      <w:r w:rsidR="003D2DE1" w:rsidRPr="00C06626">
        <w:rPr>
          <w:sz w:val="24"/>
          <w:szCs w:val="24"/>
        </w:rPr>
        <w:t xml:space="preserve">added </w:t>
      </w:r>
      <w:r w:rsidRPr="00C06626">
        <w:rPr>
          <w:sz w:val="24"/>
          <w:szCs w:val="24"/>
        </w:rPr>
        <w:t xml:space="preserve">to departmental space based upon </w:t>
      </w:r>
      <w:r w:rsidR="003A1AEF">
        <w:rPr>
          <w:sz w:val="24"/>
          <w:szCs w:val="24"/>
        </w:rPr>
        <w:t xml:space="preserve">the </w:t>
      </w:r>
      <w:r w:rsidRPr="00C06626">
        <w:rPr>
          <w:sz w:val="24"/>
          <w:szCs w:val="24"/>
        </w:rPr>
        <w:t>annual animal census billing from DCM for</w:t>
      </w:r>
      <w:r w:rsidR="00E2697A" w:rsidRPr="00C06626">
        <w:rPr>
          <w:sz w:val="24"/>
          <w:szCs w:val="24"/>
        </w:rPr>
        <w:t xml:space="preserve"> the</w:t>
      </w:r>
      <w:r w:rsidR="005C45D4" w:rsidRPr="00C06626">
        <w:rPr>
          <w:sz w:val="24"/>
          <w:szCs w:val="24"/>
        </w:rPr>
        <w:t xml:space="preserve"> </w:t>
      </w:r>
      <w:r w:rsidR="005C45D4" w:rsidRPr="00FC55FF">
        <w:rPr>
          <w:sz w:val="24"/>
          <w:szCs w:val="24"/>
          <w:u w:val="single"/>
        </w:rPr>
        <w:t>previous</w:t>
      </w:r>
      <w:r w:rsidR="005C45D4" w:rsidRPr="00C06626">
        <w:rPr>
          <w:sz w:val="24"/>
          <w:szCs w:val="24"/>
        </w:rPr>
        <w:t xml:space="preserve"> year.</w:t>
      </w:r>
      <w:r w:rsidR="000313F3" w:rsidRPr="00C06626">
        <w:rPr>
          <w:sz w:val="24"/>
          <w:szCs w:val="24"/>
        </w:rPr>
        <w:t xml:space="preserve">  </w:t>
      </w:r>
      <w:r w:rsidR="003A1AEF">
        <w:rPr>
          <w:sz w:val="24"/>
          <w:szCs w:val="24"/>
        </w:rPr>
        <w:t xml:space="preserve">Space is allocated at the PI level. </w:t>
      </w:r>
    </w:p>
    <w:p w:rsidR="005C45D4" w:rsidRDefault="005C45D4" w:rsidP="00836DEF">
      <w:pPr>
        <w:spacing w:after="0" w:line="240" w:lineRule="auto"/>
        <w:ind w:left="1440"/>
        <w:rPr>
          <w:color w:val="FF0000"/>
          <w:sz w:val="24"/>
          <w:szCs w:val="24"/>
        </w:rPr>
      </w:pPr>
      <w:r w:rsidRPr="003A1AEF">
        <w:rPr>
          <w:sz w:val="24"/>
          <w:szCs w:val="24"/>
        </w:rPr>
        <w:t>(i</w:t>
      </w:r>
      <w:r w:rsidR="00AE493E">
        <w:rPr>
          <w:sz w:val="24"/>
          <w:szCs w:val="24"/>
        </w:rPr>
        <w:t>.</w:t>
      </w:r>
      <w:r w:rsidRPr="003A1AEF">
        <w:rPr>
          <w:sz w:val="24"/>
          <w:szCs w:val="24"/>
        </w:rPr>
        <w:t>e.</w:t>
      </w:r>
      <w:r w:rsidR="00D83A76" w:rsidRPr="003A1AEF">
        <w:rPr>
          <w:sz w:val="24"/>
          <w:szCs w:val="24"/>
        </w:rPr>
        <w:t xml:space="preserve"> the FY 20</w:t>
      </w:r>
      <w:r w:rsidR="004B0E95">
        <w:rPr>
          <w:sz w:val="24"/>
          <w:szCs w:val="24"/>
        </w:rPr>
        <w:t>20</w:t>
      </w:r>
      <w:r w:rsidR="001E6D24" w:rsidRPr="003A1AEF">
        <w:rPr>
          <w:sz w:val="24"/>
          <w:szCs w:val="24"/>
        </w:rPr>
        <w:t xml:space="preserve"> </w:t>
      </w:r>
      <w:r w:rsidRPr="003A1AEF">
        <w:rPr>
          <w:sz w:val="24"/>
          <w:szCs w:val="24"/>
        </w:rPr>
        <w:t xml:space="preserve">DCM </w:t>
      </w:r>
      <w:r w:rsidR="001E6D24" w:rsidRPr="003A1AEF">
        <w:rPr>
          <w:sz w:val="24"/>
          <w:szCs w:val="24"/>
        </w:rPr>
        <w:t>bil</w:t>
      </w:r>
      <w:r w:rsidRPr="003A1AEF">
        <w:rPr>
          <w:sz w:val="24"/>
          <w:szCs w:val="24"/>
        </w:rPr>
        <w:t>l</w:t>
      </w:r>
      <w:r w:rsidR="001E6D24" w:rsidRPr="003A1AEF">
        <w:rPr>
          <w:sz w:val="24"/>
          <w:szCs w:val="24"/>
        </w:rPr>
        <w:t xml:space="preserve">ing information determines the space allocation </w:t>
      </w:r>
      <w:r w:rsidRPr="003A1AEF">
        <w:rPr>
          <w:sz w:val="24"/>
          <w:szCs w:val="24"/>
        </w:rPr>
        <w:t>and rent for that DCM space in FY 20</w:t>
      </w:r>
      <w:r w:rsidR="004B0E95">
        <w:rPr>
          <w:sz w:val="24"/>
          <w:szCs w:val="24"/>
        </w:rPr>
        <w:t>21</w:t>
      </w:r>
      <w:r w:rsidRPr="003A1AEF">
        <w:rPr>
          <w:sz w:val="24"/>
          <w:szCs w:val="24"/>
        </w:rPr>
        <w:t>. The DCM space allocation data is u</w:t>
      </w:r>
      <w:r w:rsidR="000313F3" w:rsidRPr="003A1AEF">
        <w:rPr>
          <w:sz w:val="24"/>
          <w:szCs w:val="24"/>
        </w:rPr>
        <w:t xml:space="preserve">ploaded annually after the </w:t>
      </w:r>
      <w:r w:rsidRPr="003A1AEF">
        <w:rPr>
          <w:sz w:val="24"/>
          <w:szCs w:val="24"/>
        </w:rPr>
        <w:t xml:space="preserve">University </w:t>
      </w:r>
      <w:r w:rsidR="000313F3" w:rsidRPr="003A1AEF">
        <w:rPr>
          <w:sz w:val="24"/>
          <w:szCs w:val="24"/>
        </w:rPr>
        <w:t>space survey is closed</w:t>
      </w:r>
      <w:r w:rsidRPr="003A1AEF">
        <w:rPr>
          <w:sz w:val="24"/>
          <w:szCs w:val="24"/>
        </w:rPr>
        <w:t>)</w:t>
      </w:r>
      <w:r w:rsidR="000313F3" w:rsidRPr="003A1AEF">
        <w:rPr>
          <w:sz w:val="24"/>
          <w:szCs w:val="24"/>
        </w:rPr>
        <w:t>.</w:t>
      </w:r>
      <w:r w:rsidR="00AC0076" w:rsidRPr="003A1AEF">
        <w:rPr>
          <w:sz w:val="24"/>
          <w:szCs w:val="24"/>
        </w:rPr>
        <w:t xml:space="preserve"> </w:t>
      </w:r>
    </w:p>
    <w:p w:rsidR="00E00623" w:rsidRPr="00836DEF" w:rsidRDefault="00E00623" w:rsidP="00836DEF">
      <w:pPr>
        <w:spacing w:after="0" w:line="240" w:lineRule="auto"/>
        <w:ind w:left="1440"/>
        <w:rPr>
          <w:sz w:val="24"/>
          <w:szCs w:val="24"/>
        </w:rPr>
      </w:pPr>
    </w:p>
    <w:p w:rsidR="00CA3438" w:rsidRPr="00C06626" w:rsidRDefault="00CA3438" w:rsidP="00BF66B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 xml:space="preserve">Adjustment for </w:t>
      </w:r>
      <w:r w:rsidR="005C45D4" w:rsidRPr="00836DEF">
        <w:rPr>
          <w:b/>
          <w:sz w:val="24"/>
          <w:szCs w:val="24"/>
        </w:rPr>
        <w:t xml:space="preserve">Interdisciplinary Research </w:t>
      </w:r>
      <w:r w:rsidRPr="00836DEF">
        <w:rPr>
          <w:b/>
          <w:sz w:val="24"/>
          <w:szCs w:val="24"/>
        </w:rPr>
        <w:t>Centers</w:t>
      </w:r>
      <w:r w:rsidR="00B96D51">
        <w:rPr>
          <w:b/>
          <w:sz w:val="24"/>
          <w:szCs w:val="24"/>
        </w:rPr>
        <w:t xml:space="preserve"> (IRCs)</w:t>
      </w:r>
      <w:r w:rsidRPr="00C06626">
        <w:rPr>
          <w:sz w:val="24"/>
          <w:szCs w:val="24"/>
        </w:rPr>
        <w:t>:</w:t>
      </w:r>
    </w:p>
    <w:p w:rsidR="00CA3438" w:rsidRPr="00C06626" w:rsidRDefault="00CA3438" w:rsidP="00CA343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C06626">
        <w:rPr>
          <w:sz w:val="24"/>
          <w:szCs w:val="24"/>
        </w:rPr>
        <w:t xml:space="preserve">If </w:t>
      </w:r>
      <w:r w:rsidR="005C45D4" w:rsidRPr="00C06626">
        <w:rPr>
          <w:sz w:val="24"/>
          <w:szCs w:val="24"/>
        </w:rPr>
        <w:t>a</w:t>
      </w:r>
      <w:r w:rsidRPr="00C06626">
        <w:rPr>
          <w:sz w:val="24"/>
          <w:szCs w:val="24"/>
        </w:rPr>
        <w:t xml:space="preserve"> room is a</w:t>
      </w:r>
      <w:r w:rsidR="00576ED2" w:rsidRPr="00C06626">
        <w:rPr>
          <w:sz w:val="24"/>
          <w:szCs w:val="24"/>
        </w:rPr>
        <w:t>ssigned to a</w:t>
      </w:r>
      <w:r w:rsidRPr="00C06626">
        <w:rPr>
          <w:sz w:val="24"/>
          <w:szCs w:val="24"/>
        </w:rPr>
        <w:t xml:space="preserve"> Center and </w:t>
      </w:r>
      <w:r w:rsidR="005C45D4" w:rsidRPr="00C06626">
        <w:rPr>
          <w:sz w:val="24"/>
          <w:szCs w:val="24"/>
        </w:rPr>
        <w:t xml:space="preserve">it </w:t>
      </w:r>
      <w:r w:rsidR="00576ED2" w:rsidRPr="00C06626">
        <w:rPr>
          <w:sz w:val="24"/>
          <w:szCs w:val="24"/>
        </w:rPr>
        <w:t>is unoccupied</w:t>
      </w:r>
      <w:r w:rsidR="00AE493E">
        <w:rPr>
          <w:sz w:val="24"/>
          <w:szCs w:val="24"/>
        </w:rPr>
        <w:t>,</w:t>
      </w:r>
      <w:r w:rsidRPr="00C06626">
        <w:rPr>
          <w:sz w:val="24"/>
          <w:szCs w:val="24"/>
        </w:rPr>
        <w:t xml:space="preserve"> then it is </w:t>
      </w:r>
      <w:r w:rsidR="005C45D4" w:rsidRPr="00C06626">
        <w:rPr>
          <w:sz w:val="24"/>
          <w:szCs w:val="24"/>
        </w:rPr>
        <w:t>assigned to</w:t>
      </w:r>
      <w:r w:rsidRPr="00C06626">
        <w:rPr>
          <w:sz w:val="24"/>
          <w:szCs w:val="24"/>
        </w:rPr>
        <w:t xml:space="preserve"> the Dean</w:t>
      </w:r>
      <w:r w:rsidR="005C45D4" w:rsidRPr="00C06626">
        <w:rPr>
          <w:sz w:val="24"/>
          <w:szCs w:val="24"/>
        </w:rPr>
        <w:t xml:space="preserve"> who covers the rent</w:t>
      </w:r>
    </w:p>
    <w:p w:rsidR="005C45D4" w:rsidRPr="00C06626" w:rsidRDefault="00CA3438" w:rsidP="00836DEF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C06626">
        <w:rPr>
          <w:sz w:val="24"/>
          <w:szCs w:val="24"/>
        </w:rPr>
        <w:t xml:space="preserve">If </w:t>
      </w:r>
      <w:r w:rsidR="005C45D4" w:rsidRPr="00C06626">
        <w:rPr>
          <w:sz w:val="24"/>
          <w:szCs w:val="24"/>
        </w:rPr>
        <w:t>a</w:t>
      </w:r>
      <w:r w:rsidRPr="00C06626">
        <w:rPr>
          <w:sz w:val="24"/>
          <w:szCs w:val="24"/>
        </w:rPr>
        <w:t xml:space="preserve"> room is </w:t>
      </w:r>
      <w:r w:rsidR="00576ED2" w:rsidRPr="00C06626">
        <w:rPr>
          <w:sz w:val="24"/>
          <w:szCs w:val="24"/>
        </w:rPr>
        <w:t xml:space="preserve">assigned to </w:t>
      </w:r>
      <w:r w:rsidRPr="00C06626">
        <w:rPr>
          <w:sz w:val="24"/>
          <w:szCs w:val="24"/>
        </w:rPr>
        <w:t>a Center</w:t>
      </w:r>
      <w:r w:rsidR="00AE493E">
        <w:rPr>
          <w:sz w:val="24"/>
          <w:szCs w:val="24"/>
        </w:rPr>
        <w:t xml:space="preserve"> and is occupied, it is assigned to the occupant's departme</w:t>
      </w:r>
      <w:r w:rsidR="00576ED2" w:rsidRPr="00C06626">
        <w:rPr>
          <w:sz w:val="24"/>
          <w:szCs w:val="24"/>
        </w:rPr>
        <w:t>nt</w:t>
      </w:r>
      <w:r w:rsidR="00AE493E">
        <w:rPr>
          <w:sz w:val="24"/>
          <w:szCs w:val="24"/>
        </w:rPr>
        <w:t>. The occupant</w:t>
      </w:r>
      <w:r w:rsidR="005C45D4" w:rsidRPr="00C06626">
        <w:rPr>
          <w:sz w:val="24"/>
          <w:szCs w:val="24"/>
        </w:rPr>
        <w:t xml:space="preserve"> department is responsible for the rent</w:t>
      </w:r>
    </w:p>
    <w:p w:rsidR="00F64D44" w:rsidRPr="00836DEF" w:rsidRDefault="005C45D4" w:rsidP="00836DEF">
      <w:pPr>
        <w:spacing w:after="0" w:line="240" w:lineRule="auto"/>
        <w:ind w:left="1800"/>
        <w:rPr>
          <w:sz w:val="24"/>
          <w:szCs w:val="24"/>
        </w:rPr>
      </w:pPr>
      <w:r w:rsidRPr="00836DEF">
        <w:rPr>
          <w:sz w:val="24"/>
          <w:szCs w:val="24"/>
        </w:rPr>
        <w:t xml:space="preserve"> (and is credited with the IDR from the occupant)</w:t>
      </w:r>
      <w:r w:rsidR="00576ED2" w:rsidRPr="00836DEF">
        <w:rPr>
          <w:sz w:val="24"/>
          <w:szCs w:val="24"/>
        </w:rPr>
        <w:t>.</w:t>
      </w:r>
    </w:p>
    <w:p w:rsidR="00FE6261" w:rsidRPr="00C06626" w:rsidRDefault="00FE6261" w:rsidP="00FE6261">
      <w:pPr>
        <w:pStyle w:val="ListParagraph"/>
        <w:ind w:left="1440"/>
        <w:rPr>
          <w:sz w:val="24"/>
          <w:szCs w:val="24"/>
        </w:rPr>
      </w:pPr>
    </w:p>
    <w:p w:rsidR="00F64D44" w:rsidRPr="00C06626" w:rsidRDefault="00F64D44" w:rsidP="00F64D4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36DEF">
        <w:rPr>
          <w:rFonts w:cs="Arial"/>
          <w:b/>
          <w:sz w:val="24"/>
          <w:szCs w:val="24"/>
        </w:rPr>
        <w:t>Teaching space:</w:t>
      </w:r>
      <w:r w:rsidRPr="00836DEF">
        <w:rPr>
          <w:rFonts w:cs="Arial"/>
          <w:sz w:val="24"/>
          <w:szCs w:val="24"/>
        </w:rPr>
        <w:t xml:space="preserve"> laboratory </w:t>
      </w:r>
      <w:r w:rsidR="005C45D4" w:rsidRPr="00836DEF">
        <w:rPr>
          <w:rFonts w:cs="Arial"/>
          <w:sz w:val="24"/>
          <w:szCs w:val="24"/>
        </w:rPr>
        <w:t xml:space="preserve">room types </w:t>
      </w:r>
      <w:r w:rsidRPr="00836DEF">
        <w:rPr>
          <w:rFonts w:cs="Arial"/>
          <w:sz w:val="24"/>
          <w:szCs w:val="24"/>
        </w:rPr>
        <w:t xml:space="preserve">used exclusively for </w:t>
      </w:r>
      <w:r w:rsidR="00AE493E">
        <w:rPr>
          <w:rFonts w:cs="Arial"/>
          <w:sz w:val="24"/>
          <w:szCs w:val="24"/>
        </w:rPr>
        <w:t xml:space="preserve">the </w:t>
      </w:r>
      <w:r w:rsidRPr="00836DEF">
        <w:rPr>
          <w:rFonts w:cs="Arial"/>
          <w:sz w:val="24"/>
          <w:szCs w:val="24"/>
        </w:rPr>
        <w:t>instruction of WUSM students and trainees (e.g.</w:t>
      </w:r>
      <w:r w:rsidR="00AE493E">
        <w:rPr>
          <w:rFonts w:cs="Arial"/>
          <w:sz w:val="24"/>
          <w:szCs w:val="24"/>
        </w:rPr>
        <w:t>,</w:t>
      </w:r>
      <w:r w:rsidRPr="00836DEF">
        <w:rPr>
          <w:rFonts w:cs="Arial"/>
          <w:sz w:val="24"/>
          <w:szCs w:val="24"/>
        </w:rPr>
        <w:t xml:space="preserve"> the Anatomy labs</w:t>
      </w:r>
      <w:r w:rsidR="00576ED2" w:rsidRPr="00836DEF">
        <w:rPr>
          <w:rFonts w:cs="Arial"/>
          <w:sz w:val="24"/>
          <w:szCs w:val="24"/>
        </w:rPr>
        <w:t>, animal medical space used for surgery</w:t>
      </w:r>
      <w:r w:rsidR="005C45D4" w:rsidRPr="00836DEF">
        <w:rPr>
          <w:rFonts w:cs="Arial"/>
          <w:sz w:val="24"/>
          <w:szCs w:val="24"/>
        </w:rPr>
        <w:t xml:space="preserve"> teaching</w:t>
      </w:r>
      <w:r w:rsidRPr="00836DEF">
        <w:rPr>
          <w:rFonts w:cs="Arial"/>
          <w:sz w:val="24"/>
          <w:szCs w:val="24"/>
        </w:rPr>
        <w:t xml:space="preserve">) </w:t>
      </w:r>
      <w:r w:rsidR="005C45D4" w:rsidRPr="00836DEF">
        <w:rPr>
          <w:rFonts w:cs="Arial"/>
          <w:sz w:val="24"/>
          <w:szCs w:val="24"/>
        </w:rPr>
        <w:t xml:space="preserve">and which is not exclusive to a departments trainees </w:t>
      </w:r>
      <w:r w:rsidR="00AE493E">
        <w:rPr>
          <w:rFonts w:cs="Arial"/>
          <w:sz w:val="24"/>
          <w:szCs w:val="24"/>
        </w:rPr>
        <w:t>are</w:t>
      </w:r>
      <w:r w:rsidR="00AE493E" w:rsidRPr="00836DEF">
        <w:rPr>
          <w:rFonts w:cs="Arial"/>
          <w:sz w:val="24"/>
          <w:szCs w:val="24"/>
        </w:rPr>
        <w:t xml:space="preserve"> </w:t>
      </w:r>
      <w:r w:rsidRPr="00836DEF">
        <w:rPr>
          <w:rFonts w:cs="Arial"/>
          <w:sz w:val="24"/>
          <w:szCs w:val="24"/>
        </w:rPr>
        <w:t>excluded</w:t>
      </w:r>
      <w:r w:rsidR="005C45D4" w:rsidRPr="00836DEF">
        <w:rPr>
          <w:rFonts w:cs="Arial"/>
          <w:sz w:val="24"/>
          <w:szCs w:val="24"/>
        </w:rPr>
        <w:t xml:space="preserve"> from the rent model</w:t>
      </w:r>
    </w:p>
    <w:p w:rsidR="00151A4C" w:rsidRPr="00151A4C" w:rsidRDefault="00151A4C" w:rsidP="00151A4C">
      <w:pPr>
        <w:pStyle w:val="ListParagraph"/>
        <w:ind w:left="1440"/>
        <w:rPr>
          <w:sz w:val="24"/>
          <w:szCs w:val="24"/>
        </w:rPr>
      </w:pPr>
    </w:p>
    <w:p w:rsidR="00FE5B77" w:rsidRDefault="00E2697A" w:rsidP="00ED51E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How is </w:t>
      </w:r>
      <w:r w:rsidR="003A1AEF">
        <w:rPr>
          <w:b/>
          <w:sz w:val="28"/>
          <w:szCs w:val="28"/>
        </w:rPr>
        <w:t xml:space="preserve">my </w:t>
      </w:r>
      <w:r w:rsidR="00AC0076">
        <w:rPr>
          <w:b/>
          <w:sz w:val="28"/>
          <w:szCs w:val="28"/>
        </w:rPr>
        <w:t xml:space="preserve">Wet Lab </w:t>
      </w:r>
      <w:r>
        <w:rPr>
          <w:b/>
          <w:sz w:val="28"/>
          <w:szCs w:val="28"/>
        </w:rPr>
        <w:t>Rent Charge determined?</w:t>
      </w:r>
    </w:p>
    <w:p w:rsidR="00FE5B77" w:rsidRDefault="007906B6" w:rsidP="00FE5B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B77">
        <w:rPr>
          <w:sz w:val="24"/>
          <w:szCs w:val="24"/>
        </w:rPr>
        <w:t xml:space="preserve">Each </w:t>
      </w:r>
      <w:r w:rsidR="00FE5B77" w:rsidRPr="00FE5B77">
        <w:rPr>
          <w:sz w:val="24"/>
          <w:szCs w:val="24"/>
        </w:rPr>
        <w:t xml:space="preserve">included </w:t>
      </w:r>
      <w:r w:rsidRPr="00FE5B77">
        <w:rPr>
          <w:sz w:val="24"/>
          <w:szCs w:val="24"/>
        </w:rPr>
        <w:t>r</w:t>
      </w:r>
      <w:r w:rsidR="00E2697A" w:rsidRPr="00FE5B77">
        <w:rPr>
          <w:sz w:val="24"/>
          <w:szCs w:val="24"/>
        </w:rPr>
        <w:t>oom</w:t>
      </w:r>
      <w:r w:rsidRPr="00FE5B77">
        <w:rPr>
          <w:sz w:val="24"/>
          <w:szCs w:val="24"/>
        </w:rPr>
        <w:t xml:space="preserve"> </w:t>
      </w:r>
      <w:r w:rsidR="00B96D51">
        <w:rPr>
          <w:sz w:val="24"/>
          <w:szCs w:val="24"/>
        </w:rPr>
        <w:t>was</w:t>
      </w:r>
      <w:r w:rsidR="00E2697A" w:rsidRPr="00FE5B77">
        <w:rPr>
          <w:sz w:val="24"/>
          <w:szCs w:val="24"/>
        </w:rPr>
        <w:t xml:space="preserve"> evaluated to determine </w:t>
      </w:r>
      <w:r w:rsidR="00AE493E">
        <w:rPr>
          <w:sz w:val="24"/>
          <w:szCs w:val="24"/>
        </w:rPr>
        <w:t xml:space="preserve">the </w:t>
      </w:r>
      <w:r w:rsidR="00FE5B77" w:rsidRPr="00FE5B77">
        <w:rPr>
          <w:sz w:val="24"/>
          <w:szCs w:val="24"/>
        </w:rPr>
        <w:t>quality (</w:t>
      </w:r>
      <w:r w:rsidR="00576ED2" w:rsidRPr="00FE5B77">
        <w:rPr>
          <w:sz w:val="24"/>
          <w:szCs w:val="24"/>
        </w:rPr>
        <w:t>A, B</w:t>
      </w:r>
      <w:r w:rsidRPr="00FE5B77">
        <w:rPr>
          <w:sz w:val="24"/>
          <w:szCs w:val="24"/>
        </w:rPr>
        <w:t>,</w:t>
      </w:r>
      <w:r w:rsidR="00576ED2" w:rsidRPr="00FE5B77">
        <w:rPr>
          <w:sz w:val="24"/>
          <w:szCs w:val="24"/>
        </w:rPr>
        <w:t xml:space="preserve"> </w:t>
      </w:r>
      <w:r w:rsidR="00E2697A" w:rsidRPr="00FE5B77">
        <w:rPr>
          <w:sz w:val="24"/>
          <w:szCs w:val="24"/>
        </w:rPr>
        <w:t>C</w:t>
      </w:r>
      <w:r w:rsidR="00AE493E">
        <w:rPr>
          <w:sz w:val="24"/>
          <w:szCs w:val="24"/>
        </w:rPr>
        <w:t>,</w:t>
      </w:r>
      <w:r w:rsidR="00AC0076" w:rsidRPr="00FE5B77">
        <w:rPr>
          <w:sz w:val="24"/>
          <w:szCs w:val="24"/>
        </w:rPr>
        <w:t xml:space="preserve"> or shell</w:t>
      </w:r>
      <w:r w:rsidR="00FE5B77" w:rsidRPr="00FE5B77">
        <w:rPr>
          <w:sz w:val="24"/>
          <w:szCs w:val="24"/>
        </w:rPr>
        <w:t>)</w:t>
      </w:r>
      <w:r w:rsidR="00E2697A" w:rsidRPr="00FE5B77">
        <w:rPr>
          <w:sz w:val="24"/>
          <w:szCs w:val="24"/>
        </w:rPr>
        <w:t xml:space="preserve">  </w:t>
      </w:r>
    </w:p>
    <w:p w:rsidR="00FE5B77" w:rsidRDefault="00E2697A" w:rsidP="00FE5B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B77">
        <w:rPr>
          <w:sz w:val="24"/>
          <w:szCs w:val="24"/>
        </w:rPr>
        <w:t xml:space="preserve">Each quality </w:t>
      </w:r>
      <w:r w:rsidR="005C45D4" w:rsidRPr="00FE5B77">
        <w:rPr>
          <w:sz w:val="24"/>
          <w:szCs w:val="24"/>
        </w:rPr>
        <w:t xml:space="preserve">classification </w:t>
      </w:r>
      <w:r w:rsidRPr="00FE5B77">
        <w:rPr>
          <w:sz w:val="24"/>
          <w:szCs w:val="24"/>
        </w:rPr>
        <w:t xml:space="preserve">has a different rental rate.  The rate is applied to the </w:t>
      </w:r>
      <w:r w:rsidR="00FE5B77">
        <w:rPr>
          <w:sz w:val="24"/>
          <w:szCs w:val="24"/>
        </w:rPr>
        <w:t xml:space="preserve">room </w:t>
      </w:r>
      <w:r w:rsidRPr="00FE5B77">
        <w:rPr>
          <w:sz w:val="24"/>
          <w:szCs w:val="24"/>
        </w:rPr>
        <w:t>NASF.</w:t>
      </w:r>
      <w:r w:rsidR="00ED51E6" w:rsidRPr="00FE5B77">
        <w:rPr>
          <w:sz w:val="24"/>
          <w:szCs w:val="24"/>
        </w:rPr>
        <w:t xml:space="preserve">  </w:t>
      </w:r>
    </w:p>
    <w:p w:rsidR="00ED51E6" w:rsidRPr="00FE5B77" w:rsidRDefault="00ED51E6" w:rsidP="00FE5B77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E5B77">
        <w:rPr>
          <w:sz w:val="24"/>
          <w:szCs w:val="24"/>
        </w:rPr>
        <w:t>Factors included in the determination of the quality rating:</w:t>
      </w:r>
    </w:p>
    <w:p w:rsidR="00ED51E6" w:rsidRPr="00836DEF" w:rsidRDefault="00ED51E6" w:rsidP="00ED51E6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Age of the building or renovation </w:t>
      </w:r>
    </w:p>
    <w:p w:rsidR="00ED51E6" w:rsidRPr="00836DEF" w:rsidRDefault="00ED51E6" w:rsidP="00ED51E6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Condition of the Interior Space Components </w:t>
      </w:r>
    </w:p>
    <w:p w:rsidR="00ED51E6" w:rsidRPr="00836DEF" w:rsidRDefault="00ED51E6" w:rsidP="00ED51E6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Design/Configuration of the Interior Space </w:t>
      </w:r>
    </w:p>
    <w:p w:rsidR="00ED51E6" w:rsidRPr="00836DEF" w:rsidRDefault="00ED51E6" w:rsidP="00ED51E6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Condition of Interior Finishes </w:t>
      </w:r>
    </w:p>
    <w:p w:rsidR="00ED51E6" w:rsidRPr="00836DEF" w:rsidRDefault="00ED51E6" w:rsidP="00ED51E6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Floor to Floor Height </w:t>
      </w:r>
      <w:r w:rsidR="00D83A76">
        <w:rPr>
          <w:rFonts w:asciiTheme="minorHAnsi" w:hAnsiTheme="minorHAnsi" w:cs="Arial"/>
          <w:color w:val="auto"/>
          <w:sz w:val="22"/>
          <w:szCs w:val="22"/>
        </w:rPr>
        <w:t>of the building</w:t>
      </w:r>
    </w:p>
    <w:p w:rsidR="00ED51E6" w:rsidRDefault="00ED51E6" w:rsidP="00712770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836DEF">
        <w:rPr>
          <w:rFonts w:asciiTheme="minorHAnsi" w:hAnsiTheme="minorHAnsi" w:cs="Arial"/>
          <w:color w:val="auto"/>
          <w:sz w:val="22"/>
          <w:szCs w:val="22"/>
        </w:rPr>
        <w:t xml:space="preserve">Central Systems (RO/DI/Lab Air and Vacuum) </w:t>
      </w:r>
    </w:p>
    <w:p w:rsidR="00DF008A" w:rsidRDefault="00DF008A" w:rsidP="00DF008A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>Building Geography</w:t>
      </w:r>
    </w:p>
    <w:p w:rsidR="00FE5B77" w:rsidRPr="00DF008A" w:rsidRDefault="00FE5B77" w:rsidP="00FE5B77">
      <w:pPr>
        <w:pStyle w:val="Default"/>
        <w:ind w:left="1080"/>
        <w:rPr>
          <w:rFonts w:asciiTheme="minorHAnsi" w:hAnsiTheme="minorHAnsi" w:cs="Arial"/>
          <w:color w:val="auto"/>
          <w:sz w:val="22"/>
          <w:szCs w:val="22"/>
        </w:rPr>
      </w:pPr>
    </w:p>
    <w:p w:rsidR="00712770" w:rsidRPr="00712770" w:rsidRDefault="00712770" w:rsidP="00D83A76">
      <w:pPr>
        <w:pStyle w:val="Default"/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ED51E6" w:rsidRPr="00836DEF" w:rsidRDefault="00AC0076" w:rsidP="00ED51E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Wet Lab </w:t>
      </w:r>
      <w:r w:rsidR="00ED51E6">
        <w:rPr>
          <w:b/>
          <w:sz w:val="28"/>
          <w:szCs w:val="28"/>
        </w:rPr>
        <w:t>Rental Rates</w:t>
      </w:r>
      <w:r w:rsidR="00D83A76">
        <w:rPr>
          <w:b/>
          <w:sz w:val="28"/>
          <w:szCs w:val="28"/>
        </w:rPr>
        <w:t xml:space="preserve"> – FY2</w:t>
      </w:r>
      <w:r w:rsidR="00FE5B77">
        <w:rPr>
          <w:b/>
          <w:sz w:val="28"/>
          <w:szCs w:val="28"/>
        </w:rPr>
        <w:t>1</w:t>
      </w:r>
      <w:r w:rsidR="00ED51E6" w:rsidRPr="00836DEF">
        <w:rPr>
          <w:b/>
          <w:sz w:val="24"/>
          <w:szCs w:val="24"/>
        </w:rPr>
        <w:t xml:space="preserve">:  </w:t>
      </w:r>
      <w:r w:rsidR="000313F3" w:rsidRPr="00836DE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80"/>
        <w:tblW w:w="2622" w:type="dxa"/>
        <w:tblLook w:val="04A0" w:firstRow="1" w:lastRow="0" w:firstColumn="1" w:lastColumn="0" w:noHBand="0" w:noVBand="1"/>
      </w:tblPr>
      <w:tblGrid>
        <w:gridCol w:w="2622"/>
      </w:tblGrid>
      <w:tr w:rsidR="00E2697A" w:rsidRPr="00A11BFB" w:rsidTr="00C57416">
        <w:trPr>
          <w:trHeight w:val="3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7A" w:rsidRPr="007906B6" w:rsidRDefault="00ED51E6" w:rsidP="00FE5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06B6">
              <w:rPr>
                <w:rFonts w:ascii="Calibri" w:eastAsia="Times New Roman" w:hAnsi="Calibri" w:cs="Calibri"/>
                <w:sz w:val="24"/>
                <w:szCs w:val="24"/>
              </w:rPr>
              <w:t xml:space="preserve">A Space </w:t>
            </w:r>
            <w:r w:rsidR="00E2697A" w:rsidRPr="007906B6">
              <w:rPr>
                <w:rFonts w:ascii="Calibri" w:eastAsia="Times New Roman" w:hAnsi="Calibri" w:cs="Calibri"/>
                <w:sz w:val="24"/>
                <w:szCs w:val="24"/>
              </w:rPr>
              <w:t>@ $</w:t>
            </w:r>
            <w:r w:rsidR="00761BA5">
              <w:rPr>
                <w:rFonts w:ascii="Calibri" w:eastAsia="Times New Roman" w:hAnsi="Calibri" w:cs="Calibri"/>
                <w:sz w:val="24"/>
                <w:szCs w:val="24"/>
              </w:rPr>
              <w:t>44.</w:t>
            </w:r>
            <w:r w:rsidR="00FE5B77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  <w:r w:rsidR="00E2697A" w:rsidRPr="007906B6">
              <w:rPr>
                <w:rFonts w:ascii="Calibri" w:eastAsia="Times New Roman" w:hAnsi="Calibri" w:cs="Calibri"/>
                <w:sz w:val="24"/>
                <w:szCs w:val="24"/>
              </w:rPr>
              <w:t>/nasf</w:t>
            </w:r>
          </w:p>
        </w:tc>
      </w:tr>
      <w:tr w:rsidR="00E2697A" w:rsidRPr="00A11BFB" w:rsidTr="00C57416">
        <w:trPr>
          <w:trHeight w:val="391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7A" w:rsidRPr="007906B6" w:rsidRDefault="00ED51E6" w:rsidP="00FE5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06B6">
              <w:rPr>
                <w:rFonts w:ascii="Calibri" w:eastAsia="Times New Roman" w:hAnsi="Calibri" w:cs="Calibri"/>
                <w:sz w:val="24"/>
                <w:szCs w:val="24"/>
              </w:rPr>
              <w:t>B Space</w:t>
            </w:r>
            <w:r w:rsidR="00E2697A" w:rsidRPr="007906B6">
              <w:rPr>
                <w:rFonts w:ascii="Calibri" w:eastAsia="Times New Roman" w:hAnsi="Calibri" w:cs="Calibri"/>
                <w:sz w:val="24"/>
                <w:szCs w:val="24"/>
              </w:rPr>
              <w:t xml:space="preserve"> @ $</w:t>
            </w:r>
            <w:r w:rsidR="00761BA5">
              <w:rPr>
                <w:rFonts w:ascii="Calibri" w:eastAsia="Times New Roman" w:hAnsi="Calibri" w:cs="Calibri"/>
                <w:sz w:val="24"/>
                <w:szCs w:val="24"/>
              </w:rPr>
              <w:t>39.</w:t>
            </w:r>
            <w:r w:rsidR="00FE5B77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  <w:r w:rsidR="00E2697A" w:rsidRPr="007906B6">
              <w:rPr>
                <w:rFonts w:ascii="Calibri" w:eastAsia="Times New Roman" w:hAnsi="Calibri" w:cs="Calibri"/>
                <w:sz w:val="24"/>
                <w:szCs w:val="24"/>
              </w:rPr>
              <w:t>/nasf</w:t>
            </w:r>
          </w:p>
        </w:tc>
      </w:tr>
      <w:tr w:rsidR="00090B2D" w:rsidRPr="00A11BFB" w:rsidTr="00C57416">
        <w:trPr>
          <w:trHeight w:val="41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2D" w:rsidRPr="007906B6" w:rsidRDefault="00090B2D" w:rsidP="00FE5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06B6">
              <w:rPr>
                <w:rFonts w:ascii="Calibri" w:eastAsia="Times New Roman" w:hAnsi="Calibri" w:cs="Calibri"/>
                <w:sz w:val="24"/>
                <w:szCs w:val="24"/>
              </w:rPr>
              <w:t>C Space @ $</w:t>
            </w:r>
            <w:r w:rsidR="00761BA5">
              <w:rPr>
                <w:rFonts w:ascii="Calibri" w:eastAsia="Times New Roman" w:hAnsi="Calibri" w:cs="Calibri"/>
                <w:sz w:val="24"/>
                <w:szCs w:val="24"/>
              </w:rPr>
              <w:t>29.</w:t>
            </w:r>
            <w:r w:rsidR="00FE5B77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  <w:r w:rsidRPr="007906B6">
              <w:rPr>
                <w:rFonts w:ascii="Calibri" w:eastAsia="Times New Roman" w:hAnsi="Calibri" w:cs="Calibri"/>
                <w:sz w:val="24"/>
                <w:szCs w:val="24"/>
              </w:rPr>
              <w:t>/nasf</w:t>
            </w:r>
          </w:p>
        </w:tc>
      </w:tr>
      <w:tr w:rsidR="00090B2D" w:rsidRPr="00A11BFB" w:rsidTr="00C57416">
        <w:trPr>
          <w:trHeight w:val="412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B2D" w:rsidRPr="007906B6" w:rsidRDefault="00576ED2" w:rsidP="00FE5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906B6">
              <w:rPr>
                <w:rFonts w:ascii="Calibri" w:eastAsia="Times New Roman" w:hAnsi="Calibri" w:cs="Calibri"/>
                <w:sz w:val="24"/>
                <w:szCs w:val="24"/>
              </w:rPr>
              <w:t>Shell</w:t>
            </w:r>
            <w:r w:rsidR="00090B2D" w:rsidRPr="007906B6">
              <w:rPr>
                <w:rFonts w:ascii="Calibri" w:eastAsia="Times New Roman" w:hAnsi="Calibri" w:cs="Calibri"/>
                <w:sz w:val="24"/>
                <w:szCs w:val="24"/>
              </w:rPr>
              <w:t xml:space="preserve"> @ $</w:t>
            </w:r>
            <w:r w:rsidR="00761BA5">
              <w:rPr>
                <w:rFonts w:ascii="Calibri" w:eastAsia="Times New Roman" w:hAnsi="Calibri" w:cs="Calibri"/>
                <w:sz w:val="24"/>
                <w:szCs w:val="24"/>
              </w:rPr>
              <w:t>24.</w:t>
            </w:r>
            <w:r w:rsidR="00FE5B77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  <w:r w:rsidR="00090B2D" w:rsidRPr="007906B6">
              <w:rPr>
                <w:rFonts w:ascii="Calibri" w:eastAsia="Times New Roman" w:hAnsi="Calibri" w:cs="Calibri"/>
                <w:sz w:val="24"/>
                <w:szCs w:val="24"/>
              </w:rPr>
              <w:t>/nasf</w:t>
            </w:r>
          </w:p>
        </w:tc>
      </w:tr>
    </w:tbl>
    <w:p w:rsidR="00E2697A" w:rsidRPr="00A11BFB" w:rsidRDefault="00E2697A" w:rsidP="00E2697A">
      <w:pPr>
        <w:spacing w:after="0"/>
        <w:ind w:left="540"/>
        <w:rPr>
          <w:b/>
          <w:sz w:val="24"/>
          <w:szCs w:val="24"/>
          <w:u w:val="single"/>
        </w:rPr>
      </w:pPr>
    </w:p>
    <w:p w:rsidR="00E2697A" w:rsidRDefault="00E2697A" w:rsidP="00E2697A">
      <w:pPr>
        <w:spacing w:after="0"/>
        <w:ind w:left="540"/>
        <w:rPr>
          <w:b/>
          <w:sz w:val="24"/>
          <w:szCs w:val="24"/>
          <w:u w:val="single"/>
        </w:rPr>
      </w:pPr>
    </w:p>
    <w:p w:rsidR="00E2697A" w:rsidRDefault="00E2697A" w:rsidP="00E2697A">
      <w:pPr>
        <w:rPr>
          <w:sz w:val="24"/>
          <w:szCs w:val="24"/>
        </w:rPr>
      </w:pPr>
    </w:p>
    <w:p w:rsidR="00E2697A" w:rsidRDefault="00E2697A" w:rsidP="00E2697A">
      <w:pPr>
        <w:rPr>
          <w:sz w:val="24"/>
          <w:szCs w:val="24"/>
        </w:rPr>
      </w:pPr>
    </w:p>
    <w:p w:rsidR="00761BA5" w:rsidRDefault="00FE5B77" w:rsidP="00FE5B77">
      <w:pPr>
        <w:jc w:val="center"/>
        <w:rPr>
          <w:sz w:val="24"/>
          <w:szCs w:val="24"/>
        </w:rPr>
      </w:pPr>
      <w:r>
        <w:rPr>
          <w:sz w:val="24"/>
          <w:szCs w:val="24"/>
        </w:rPr>
        <w:t>Note that rents are updated annually based on actual O&amp;M costs</w:t>
      </w:r>
    </w:p>
    <w:p w:rsidR="00ED51E6" w:rsidRPr="00E2697A" w:rsidRDefault="00ED51E6" w:rsidP="00ED51E6">
      <w:pPr>
        <w:rPr>
          <w:b/>
          <w:sz w:val="28"/>
          <w:szCs w:val="28"/>
        </w:rPr>
      </w:pPr>
      <w:r>
        <w:rPr>
          <w:b/>
          <w:sz w:val="28"/>
          <w:szCs w:val="28"/>
        </w:rPr>
        <w:t>Adjustment</w:t>
      </w:r>
      <w:r w:rsidR="002B7CA9">
        <w:rPr>
          <w:b/>
          <w:sz w:val="28"/>
          <w:szCs w:val="28"/>
        </w:rPr>
        <w:t>s</w:t>
      </w:r>
      <w:r w:rsidRPr="00E2697A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Rental Rate:</w:t>
      </w:r>
      <w:r w:rsidRPr="00E2697A">
        <w:rPr>
          <w:b/>
          <w:sz w:val="28"/>
          <w:szCs w:val="28"/>
        </w:rPr>
        <w:t xml:space="preserve"> </w:t>
      </w:r>
    </w:p>
    <w:p w:rsidR="004A533A" w:rsidRPr="002E4F9D" w:rsidRDefault="00FE5B77" w:rsidP="002E4F9D">
      <w:pPr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I</w:t>
      </w:r>
      <w:r w:rsidR="00151A4C" w:rsidRPr="002E4F9D">
        <w:rPr>
          <w:rFonts w:cs="Arial"/>
          <w:b/>
          <w:sz w:val="24"/>
          <w:szCs w:val="24"/>
        </w:rPr>
        <w:t>nvestments in space</w:t>
      </w:r>
    </w:p>
    <w:p w:rsidR="002E4F9D" w:rsidRPr="00930F05" w:rsidRDefault="00FE5B77" w:rsidP="00151A4C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Departments</w:t>
      </w:r>
      <w:r w:rsidR="00D20045">
        <w:rPr>
          <w:szCs w:val="24"/>
        </w:rPr>
        <w:t xml:space="preserve"> are encouraged to make</w:t>
      </w:r>
      <w:r w:rsidR="002E4F9D" w:rsidRPr="00930F05">
        <w:rPr>
          <w:szCs w:val="24"/>
        </w:rPr>
        <w:t xml:space="preserve"> investments in their </w:t>
      </w:r>
      <w:r w:rsidR="00D20045">
        <w:rPr>
          <w:szCs w:val="24"/>
        </w:rPr>
        <w:t>space.</w:t>
      </w:r>
      <w:r w:rsidR="002E4F9D" w:rsidRPr="00930F05">
        <w:rPr>
          <w:szCs w:val="24"/>
        </w:rPr>
        <w:t xml:space="preserve"> </w:t>
      </w:r>
      <w:r>
        <w:rPr>
          <w:szCs w:val="24"/>
        </w:rPr>
        <w:t>R</w:t>
      </w:r>
      <w:r w:rsidR="002E4F9D" w:rsidRPr="00930F05">
        <w:rPr>
          <w:szCs w:val="24"/>
        </w:rPr>
        <w:t xml:space="preserve">ent credits </w:t>
      </w:r>
      <w:r>
        <w:rPr>
          <w:szCs w:val="24"/>
        </w:rPr>
        <w:t xml:space="preserve">are applied </w:t>
      </w:r>
      <w:r w:rsidR="002E4F9D" w:rsidRPr="00930F05">
        <w:rPr>
          <w:szCs w:val="24"/>
        </w:rPr>
        <w:t xml:space="preserve">for investment in </w:t>
      </w:r>
      <w:r w:rsidR="00AE493E">
        <w:rPr>
          <w:szCs w:val="24"/>
        </w:rPr>
        <w:t xml:space="preserve">the </w:t>
      </w:r>
      <w:r w:rsidR="002E4F9D" w:rsidRPr="00930F05">
        <w:rPr>
          <w:szCs w:val="24"/>
        </w:rPr>
        <w:t xml:space="preserve">core and shell of a new building or </w:t>
      </w:r>
      <w:r w:rsidR="00AE493E" w:rsidRPr="00930F05">
        <w:rPr>
          <w:szCs w:val="24"/>
        </w:rPr>
        <w:t>gut</w:t>
      </w:r>
      <w:r w:rsidR="00AE493E">
        <w:rPr>
          <w:szCs w:val="24"/>
        </w:rPr>
        <w:t>-</w:t>
      </w:r>
      <w:r w:rsidR="002E4F9D" w:rsidRPr="00930F05">
        <w:rPr>
          <w:szCs w:val="24"/>
        </w:rPr>
        <w:t>renovating existing space.</w:t>
      </w:r>
    </w:p>
    <w:p w:rsidR="00521967" w:rsidRDefault="002E4F9D" w:rsidP="00151A4C">
      <w:pPr>
        <w:pStyle w:val="ListParagraph"/>
        <w:numPr>
          <w:ilvl w:val="0"/>
          <w:numId w:val="9"/>
        </w:numPr>
        <w:rPr>
          <w:szCs w:val="24"/>
        </w:rPr>
      </w:pPr>
      <w:r w:rsidRPr="00930F05">
        <w:rPr>
          <w:szCs w:val="24"/>
        </w:rPr>
        <w:t xml:space="preserve">The credit given is equal to the depreciation portion of the rent </w:t>
      </w:r>
      <w:r w:rsidR="00FE5B77">
        <w:rPr>
          <w:szCs w:val="24"/>
        </w:rPr>
        <w:t>for</w:t>
      </w:r>
      <w:r w:rsidRPr="00930F05">
        <w:rPr>
          <w:szCs w:val="24"/>
        </w:rPr>
        <w:t xml:space="preserve"> the full depreciation period or until the investment is repaid.</w:t>
      </w:r>
    </w:p>
    <w:p w:rsidR="002E4F9D" w:rsidRPr="00930F05" w:rsidRDefault="00521967" w:rsidP="00151A4C">
      <w:pPr>
        <w:pStyle w:val="ListParagraph"/>
        <w:numPr>
          <w:ilvl w:val="0"/>
          <w:numId w:val="9"/>
        </w:numPr>
        <w:rPr>
          <w:szCs w:val="24"/>
        </w:rPr>
      </w:pPr>
      <w:r>
        <w:rPr>
          <w:szCs w:val="24"/>
        </w:rPr>
        <w:t>O&amp;M</w:t>
      </w:r>
      <w:r w:rsidR="002A1B22">
        <w:rPr>
          <w:szCs w:val="24"/>
        </w:rPr>
        <w:t xml:space="preserve"> remains</w:t>
      </w:r>
      <w:r>
        <w:rPr>
          <w:szCs w:val="24"/>
        </w:rPr>
        <w:t xml:space="preserve"> constant in all rent calculations</w:t>
      </w:r>
      <w:r w:rsidR="000B7E1D">
        <w:rPr>
          <w:szCs w:val="24"/>
        </w:rPr>
        <w:t>, regardless of department investment</w:t>
      </w:r>
    </w:p>
    <w:p w:rsidR="002218AD" w:rsidRDefault="000313F3" w:rsidP="00836DEF">
      <w:pPr>
        <w:spacing w:after="0"/>
        <w:rPr>
          <w:sz w:val="24"/>
          <w:szCs w:val="24"/>
          <w:u w:val="single"/>
        </w:rPr>
      </w:pPr>
      <w:r w:rsidRPr="00836DEF">
        <w:rPr>
          <w:b/>
          <w:sz w:val="24"/>
          <w:szCs w:val="24"/>
          <w:u w:val="single"/>
        </w:rPr>
        <w:t>Example:</w:t>
      </w:r>
      <w:r w:rsidR="000E22BD">
        <w:rPr>
          <w:sz w:val="24"/>
          <w:szCs w:val="24"/>
          <w:u w:val="single"/>
        </w:rPr>
        <w:t xml:space="preserve">  </w:t>
      </w:r>
    </w:p>
    <w:p w:rsidR="000313F3" w:rsidRPr="00B96D51" w:rsidRDefault="000E22BD" w:rsidP="00836DEF">
      <w:pPr>
        <w:spacing w:after="0"/>
        <w:rPr>
          <w:szCs w:val="24"/>
        </w:rPr>
      </w:pPr>
      <w:r w:rsidRPr="00B96D51">
        <w:rPr>
          <w:szCs w:val="24"/>
        </w:rPr>
        <w:t xml:space="preserve">In Couch Research Building, </w:t>
      </w:r>
      <w:r w:rsidR="000313F3" w:rsidRPr="00B96D51">
        <w:rPr>
          <w:szCs w:val="24"/>
        </w:rPr>
        <w:t xml:space="preserve">Radiology </w:t>
      </w:r>
      <w:r w:rsidR="00090B2D" w:rsidRPr="00B96D51">
        <w:rPr>
          <w:szCs w:val="24"/>
        </w:rPr>
        <w:t>funded 100%</w:t>
      </w:r>
      <w:r w:rsidR="002E1B23" w:rsidRPr="00B96D51">
        <w:rPr>
          <w:szCs w:val="24"/>
        </w:rPr>
        <w:t xml:space="preserve"> </w:t>
      </w:r>
      <w:r w:rsidR="000313F3" w:rsidRPr="00B96D51">
        <w:rPr>
          <w:szCs w:val="24"/>
        </w:rPr>
        <w:t xml:space="preserve">Core/Shell </w:t>
      </w:r>
      <w:r w:rsidRPr="00B96D51">
        <w:rPr>
          <w:szCs w:val="24"/>
        </w:rPr>
        <w:t xml:space="preserve">for a floor </w:t>
      </w:r>
      <w:r w:rsidR="000313F3" w:rsidRPr="00B96D51">
        <w:rPr>
          <w:szCs w:val="24"/>
        </w:rPr>
        <w:t xml:space="preserve">and fit </w:t>
      </w:r>
      <w:r w:rsidR="00C06626" w:rsidRPr="00B96D51">
        <w:rPr>
          <w:szCs w:val="24"/>
        </w:rPr>
        <w:t>out a portion of the</w:t>
      </w:r>
      <w:r w:rsidR="000313F3" w:rsidRPr="00B96D51">
        <w:rPr>
          <w:szCs w:val="24"/>
        </w:rPr>
        <w:t xml:space="preserve"> space</w:t>
      </w:r>
      <w:r w:rsidR="00761BA5" w:rsidRPr="00B96D51">
        <w:rPr>
          <w:szCs w:val="24"/>
        </w:rPr>
        <w:t xml:space="preserve">.   </w:t>
      </w:r>
    </w:p>
    <w:p w:rsidR="000E22BD" w:rsidRPr="00B96D51" w:rsidRDefault="000E22BD" w:rsidP="000E22BD">
      <w:pPr>
        <w:spacing w:after="0"/>
        <w:rPr>
          <w:szCs w:val="24"/>
        </w:rPr>
      </w:pPr>
    </w:p>
    <w:p w:rsidR="000E22BD" w:rsidRDefault="005015C8" w:rsidP="000E22BD">
      <w:pPr>
        <w:spacing w:after="0"/>
        <w:rPr>
          <w:sz w:val="24"/>
          <w:szCs w:val="24"/>
        </w:rPr>
      </w:pPr>
      <w:r w:rsidRPr="00B96D51">
        <w:rPr>
          <w:b/>
          <w:szCs w:val="24"/>
        </w:rPr>
        <w:t>Shell Space</w:t>
      </w:r>
      <w:r w:rsidR="00F623B0" w:rsidRPr="00B96D51">
        <w:rPr>
          <w:szCs w:val="24"/>
        </w:rPr>
        <w:tab/>
      </w:r>
      <w:r w:rsidR="00F623B0" w:rsidRPr="00836DEF">
        <w:rPr>
          <w:sz w:val="24"/>
          <w:szCs w:val="24"/>
        </w:rPr>
        <w:tab/>
      </w:r>
      <w:r w:rsidR="00F623B0" w:rsidRPr="00836DEF">
        <w:rPr>
          <w:sz w:val="24"/>
          <w:szCs w:val="24"/>
        </w:rPr>
        <w:tab/>
      </w:r>
    </w:p>
    <w:p w:rsidR="000E22BD" w:rsidRDefault="000E22BD" w:rsidP="000E22BD">
      <w:pPr>
        <w:spacing w:after="0"/>
        <w:rPr>
          <w:sz w:val="24"/>
          <w:szCs w:val="24"/>
        </w:rPr>
      </w:pPr>
      <w:r w:rsidRPr="00930F05">
        <w:rPr>
          <w:szCs w:val="24"/>
        </w:rPr>
        <w:t xml:space="preserve">Department will receive </w:t>
      </w:r>
      <w:r w:rsidRPr="004B4C43">
        <w:rPr>
          <w:szCs w:val="24"/>
        </w:rPr>
        <w:t>a $</w:t>
      </w:r>
      <w:r w:rsidR="004B4C43" w:rsidRPr="004B4C43">
        <w:rPr>
          <w:szCs w:val="24"/>
        </w:rPr>
        <w:t>10.71</w:t>
      </w:r>
      <w:r w:rsidR="00B96D51" w:rsidRPr="004B4C43">
        <w:rPr>
          <w:szCs w:val="24"/>
        </w:rPr>
        <w:t>/NASF</w:t>
      </w:r>
      <w:r w:rsidR="009D23C3" w:rsidRPr="004B4C43">
        <w:rPr>
          <w:szCs w:val="24"/>
        </w:rPr>
        <w:t xml:space="preserve"> credit (FY</w:t>
      </w:r>
      <w:r w:rsidR="001A68D8" w:rsidRPr="004B4C43">
        <w:rPr>
          <w:szCs w:val="24"/>
        </w:rPr>
        <w:t>2</w:t>
      </w:r>
      <w:r w:rsidR="004B4C43" w:rsidRPr="004B4C43">
        <w:rPr>
          <w:szCs w:val="24"/>
        </w:rPr>
        <w:t>1</w:t>
      </w:r>
      <w:r w:rsidR="009D23C3" w:rsidRPr="004B4C43">
        <w:rPr>
          <w:szCs w:val="24"/>
        </w:rPr>
        <w:t xml:space="preserve">), </w:t>
      </w:r>
      <w:r w:rsidR="009D23C3" w:rsidRPr="00930F05">
        <w:rPr>
          <w:szCs w:val="24"/>
        </w:rPr>
        <w:t>which is equal to the depreciation portion of rent on shell space, for the full depreciation peri</w:t>
      </w:r>
      <w:r w:rsidR="00930F05" w:rsidRPr="00930F05">
        <w:rPr>
          <w:szCs w:val="24"/>
        </w:rPr>
        <w:t>od of the core/shell (38 years), or until the investment is paid back or the department vacates the space</w:t>
      </w:r>
      <w:r w:rsidR="00930F05">
        <w:rPr>
          <w:sz w:val="24"/>
          <w:szCs w:val="24"/>
        </w:rPr>
        <w:t>.</w:t>
      </w:r>
    </w:p>
    <w:p w:rsidR="000E22BD" w:rsidRDefault="000E22BD" w:rsidP="000E22BD">
      <w:pPr>
        <w:spacing w:after="0"/>
        <w:rPr>
          <w:sz w:val="24"/>
          <w:szCs w:val="24"/>
        </w:rPr>
      </w:pPr>
    </w:p>
    <w:p w:rsidR="005015C8" w:rsidRPr="00B96D51" w:rsidRDefault="00AE493E" w:rsidP="000E22BD">
      <w:pPr>
        <w:spacing w:after="0"/>
      </w:pPr>
      <w:r w:rsidRPr="00B96D51">
        <w:rPr>
          <w:b/>
        </w:rPr>
        <w:t>Fit</w:t>
      </w:r>
      <w:r>
        <w:rPr>
          <w:b/>
        </w:rPr>
        <w:t>-</w:t>
      </w:r>
      <w:r w:rsidR="005015C8" w:rsidRPr="00B96D51">
        <w:rPr>
          <w:b/>
        </w:rPr>
        <w:t>out Space</w:t>
      </w:r>
    </w:p>
    <w:p w:rsidR="005015C8" w:rsidRPr="00B96D51" w:rsidRDefault="009D23C3" w:rsidP="009D23C3">
      <w:pPr>
        <w:spacing w:after="0"/>
      </w:pPr>
      <w:r w:rsidRPr="00B96D51">
        <w:t xml:space="preserve">Department will receive an </w:t>
      </w:r>
      <w:r w:rsidRPr="004B4C43">
        <w:t xml:space="preserve">additional </w:t>
      </w:r>
      <w:r w:rsidR="002218AD" w:rsidRPr="004B4C43">
        <w:t>$</w:t>
      </w:r>
      <w:r w:rsidR="004B4C43" w:rsidRPr="004B4C43">
        <w:t>16.51</w:t>
      </w:r>
      <w:r w:rsidR="00B96D51" w:rsidRPr="004B4C43">
        <w:t>/NASF</w:t>
      </w:r>
      <w:r w:rsidRPr="004B4C43">
        <w:t xml:space="preserve"> credit (FY</w:t>
      </w:r>
      <w:r w:rsidR="002218AD" w:rsidRPr="004B4C43">
        <w:t>2</w:t>
      </w:r>
      <w:r w:rsidR="004B4C43" w:rsidRPr="004B4C43">
        <w:t>1</w:t>
      </w:r>
      <w:r w:rsidRPr="004B4C43">
        <w:t xml:space="preserve">) </w:t>
      </w:r>
      <w:r w:rsidRPr="00B96D51">
        <w:t xml:space="preserve">on space that they paid to fit out in the building. This is equal to the </w:t>
      </w:r>
      <w:r w:rsidR="00930F05" w:rsidRPr="00B96D51">
        <w:t xml:space="preserve">depreciation portion of the rent on space fit out to A quality.  This credit applies for the full depreciation period of the </w:t>
      </w:r>
      <w:r w:rsidR="00AE493E" w:rsidRPr="00B96D51">
        <w:t>fit</w:t>
      </w:r>
      <w:r w:rsidR="00AE493E">
        <w:t>-</w:t>
      </w:r>
      <w:r w:rsidR="00930F05" w:rsidRPr="00B96D51">
        <w:t xml:space="preserve">out space (20 years) or until the investment is paid back or the department vacates the space. </w:t>
      </w:r>
    </w:p>
    <w:p w:rsidR="002E5FD3" w:rsidRPr="00B96D51" w:rsidRDefault="002E5FD3" w:rsidP="002E5FD3">
      <w:pPr>
        <w:rPr>
          <w:rFonts w:ascii="Arial" w:hAnsi="Arial" w:cs="Arial"/>
          <w:b/>
        </w:rPr>
      </w:pPr>
    </w:p>
    <w:p w:rsidR="00521967" w:rsidRDefault="00E2092A" w:rsidP="002E5FD3">
      <w:pPr>
        <w:rPr>
          <w:b/>
          <w:sz w:val="28"/>
          <w:szCs w:val="28"/>
        </w:rPr>
      </w:pPr>
      <w:r w:rsidRPr="002B7CA9">
        <w:rPr>
          <w:b/>
          <w:sz w:val="28"/>
          <w:szCs w:val="28"/>
        </w:rPr>
        <w:t>Funds to offset rent charges</w:t>
      </w:r>
      <w:r w:rsidR="00521967">
        <w:rPr>
          <w:b/>
          <w:sz w:val="28"/>
          <w:szCs w:val="28"/>
        </w:rPr>
        <w:t xml:space="preserve"> – F&amp;A Distribution</w:t>
      </w:r>
    </w:p>
    <w:p w:rsidR="00F6202D" w:rsidRPr="00F6202D" w:rsidRDefault="000B7E1D" w:rsidP="00AE493E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 w:rsidRPr="00F6202D">
        <w:rPr>
          <w:szCs w:val="28"/>
        </w:rPr>
        <w:t>T</w:t>
      </w:r>
      <w:r w:rsidR="00A21711" w:rsidRPr="00F6202D">
        <w:rPr>
          <w:szCs w:val="28"/>
        </w:rPr>
        <w:t>o offset rent charges, d</w:t>
      </w:r>
      <w:r w:rsidR="002B7CA9" w:rsidRPr="00F6202D">
        <w:rPr>
          <w:szCs w:val="28"/>
        </w:rPr>
        <w:t xml:space="preserve">epartments receive </w:t>
      </w:r>
      <w:r w:rsidR="00F62A8C" w:rsidRPr="00F6202D">
        <w:rPr>
          <w:szCs w:val="28"/>
        </w:rPr>
        <w:t xml:space="preserve">a percentage of their </w:t>
      </w:r>
      <w:r w:rsidR="00F6202D" w:rsidRPr="00F6202D">
        <w:rPr>
          <w:szCs w:val="28"/>
        </w:rPr>
        <w:t>F&amp;A funds (indirects)</w:t>
      </w:r>
      <w:r w:rsidR="00F62A8C" w:rsidRPr="00F6202D">
        <w:rPr>
          <w:szCs w:val="28"/>
        </w:rPr>
        <w:t xml:space="preserve"> on organized research. </w:t>
      </w:r>
    </w:p>
    <w:p w:rsidR="00F6202D" w:rsidRPr="00F6202D" w:rsidRDefault="00F6202D" w:rsidP="00F6202D">
      <w:pPr>
        <w:pStyle w:val="ListParagraph"/>
        <w:rPr>
          <w:b/>
          <w:sz w:val="24"/>
          <w:szCs w:val="24"/>
        </w:rPr>
      </w:pPr>
    </w:p>
    <w:p w:rsidR="002E5FD3" w:rsidRPr="00F6202D" w:rsidRDefault="00F6202D" w:rsidP="00AE493E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Included Funds</w:t>
      </w:r>
      <w:r w:rsidR="002E5FD3" w:rsidRPr="00F6202D">
        <w:rPr>
          <w:b/>
          <w:sz w:val="24"/>
          <w:szCs w:val="24"/>
        </w:rPr>
        <w:t>:</w:t>
      </w:r>
    </w:p>
    <w:p w:rsidR="003D125E" w:rsidRPr="002B7CA9" w:rsidRDefault="00D92CE5" w:rsidP="002B7CA9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2B7CA9">
        <w:rPr>
          <w:rFonts w:asciiTheme="minorHAnsi" w:hAnsiTheme="minorHAnsi" w:cs="Arial"/>
          <w:color w:val="auto"/>
          <w:sz w:val="22"/>
          <w:szCs w:val="22"/>
        </w:rPr>
        <w:t>Funds that support wet laboratory research</w:t>
      </w:r>
    </w:p>
    <w:p w:rsidR="003D125E" w:rsidRPr="002B7CA9" w:rsidRDefault="002E5FD3" w:rsidP="002B7CA9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2B7CA9">
        <w:rPr>
          <w:rFonts w:asciiTheme="minorHAnsi" w:hAnsiTheme="minorHAnsi" w:cs="Arial"/>
          <w:color w:val="auto"/>
          <w:sz w:val="22"/>
          <w:szCs w:val="22"/>
        </w:rPr>
        <w:t>Funds with the expense code of organized research</w:t>
      </w:r>
      <w:r w:rsidR="00E2526C">
        <w:rPr>
          <w:rFonts w:asciiTheme="minorHAnsi" w:hAnsiTheme="minorHAnsi" w:cs="Arial"/>
          <w:color w:val="auto"/>
          <w:sz w:val="22"/>
          <w:szCs w:val="22"/>
        </w:rPr>
        <w:t>"</w:t>
      </w:r>
      <w:r w:rsidR="00E2526C" w:rsidRPr="002B7CA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B7CA9">
        <w:rPr>
          <w:rFonts w:asciiTheme="minorHAnsi" w:hAnsiTheme="minorHAnsi" w:cs="Arial"/>
          <w:color w:val="auto"/>
          <w:sz w:val="22"/>
          <w:szCs w:val="22"/>
        </w:rPr>
        <w:t xml:space="preserve">for all purposes except </w:t>
      </w:r>
      <w:r w:rsidR="00E2526C" w:rsidRPr="002B7CA9">
        <w:rPr>
          <w:rFonts w:asciiTheme="minorHAnsi" w:hAnsiTheme="minorHAnsi" w:cs="Arial"/>
          <w:color w:val="auto"/>
          <w:sz w:val="22"/>
          <w:szCs w:val="22"/>
        </w:rPr>
        <w:t>cost</w:t>
      </w:r>
      <w:r w:rsidR="00E2526C">
        <w:rPr>
          <w:rFonts w:asciiTheme="minorHAnsi" w:hAnsiTheme="minorHAnsi" w:cs="Arial"/>
          <w:color w:val="auto"/>
          <w:sz w:val="22"/>
          <w:szCs w:val="22"/>
        </w:rPr>
        <w:t>-</w:t>
      </w:r>
      <w:r w:rsidRPr="002B7CA9">
        <w:rPr>
          <w:rFonts w:asciiTheme="minorHAnsi" w:hAnsiTheme="minorHAnsi" w:cs="Arial"/>
          <w:color w:val="auto"/>
          <w:sz w:val="22"/>
          <w:szCs w:val="22"/>
        </w:rPr>
        <w:t>sharing</w:t>
      </w:r>
    </w:p>
    <w:p w:rsidR="00A21711" w:rsidRDefault="002E5FD3" w:rsidP="00930F05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 w:rsidRPr="002B7CA9">
        <w:rPr>
          <w:rFonts w:asciiTheme="minorHAnsi" w:hAnsiTheme="minorHAnsi" w:cs="Arial"/>
          <w:color w:val="auto"/>
          <w:sz w:val="22"/>
          <w:szCs w:val="22"/>
        </w:rPr>
        <w:t>Funds with the expense code of </w:t>
      </w:r>
      <w:r w:rsidR="00E2526C">
        <w:rPr>
          <w:rFonts w:asciiTheme="minorHAnsi" w:hAnsiTheme="minorHAnsi" w:cs="Arial"/>
          <w:color w:val="auto"/>
          <w:sz w:val="22"/>
          <w:szCs w:val="22"/>
        </w:rPr>
        <w:t>"</w:t>
      </w:r>
      <w:r w:rsidRPr="002B7CA9">
        <w:rPr>
          <w:rFonts w:asciiTheme="minorHAnsi" w:hAnsiTheme="minorHAnsi" w:cs="Arial"/>
          <w:color w:val="auto"/>
          <w:sz w:val="22"/>
          <w:szCs w:val="22"/>
        </w:rPr>
        <w:t>Instruction/clinical/department research</w:t>
      </w:r>
      <w:r w:rsidR="00E2526C">
        <w:rPr>
          <w:rFonts w:asciiTheme="minorHAnsi" w:hAnsiTheme="minorHAnsi" w:cs="Arial"/>
          <w:color w:val="auto"/>
          <w:sz w:val="22"/>
          <w:szCs w:val="22"/>
        </w:rPr>
        <w:t>"</w:t>
      </w:r>
      <w:r w:rsidR="00E2526C" w:rsidRPr="002B7CA9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2B7CA9">
        <w:rPr>
          <w:rFonts w:asciiTheme="minorHAnsi" w:hAnsiTheme="minorHAnsi" w:cs="Arial"/>
          <w:color w:val="auto"/>
          <w:sz w:val="22"/>
          <w:szCs w:val="22"/>
        </w:rPr>
        <w:t xml:space="preserve">with the purpose of research. </w:t>
      </w:r>
    </w:p>
    <w:p w:rsidR="003A5C2C" w:rsidRDefault="003A5C2C" w:rsidP="00930F05">
      <w:pPr>
        <w:pStyle w:val="Default"/>
        <w:numPr>
          <w:ilvl w:val="0"/>
          <w:numId w:val="7"/>
        </w:num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IDR from training grants (e.g., </w:t>
      </w:r>
      <w:r w:rsidR="00E2526C">
        <w:rPr>
          <w:rFonts w:asciiTheme="minorHAnsi" w:hAnsiTheme="minorHAnsi" w:cs="Arial"/>
          <w:color w:val="auto"/>
          <w:sz w:val="22"/>
          <w:szCs w:val="22"/>
        </w:rPr>
        <w:t>F's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</w:t>
      </w:r>
      <w:r w:rsidR="00E2526C">
        <w:rPr>
          <w:rFonts w:asciiTheme="minorHAnsi" w:hAnsiTheme="minorHAnsi" w:cs="Arial"/>
          <w:color w:val="auto"/>
          <w:sz w:val="22"/>
          <w:szCs w:val="22"/>
        </w:rPr>
        <w:t>K's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, and </w:t>
      </w:r>
      <w:r w:rsidR="00E2526C">
        <w:rPr>
          <w:rFonts w:asciiTheme="minorHAnsi" w:hAnsiTheme="minorHAnsi" w:cs="Arial"/>
          <w:color w:val="auto"/>
          <w:sz w:val="22"/>
          <w:szCs w:val="22"/>
        </w:rPr>
        <w:t>T's</w:t>
      </w:r>
      <w:r>
        <w:rPr>
          <w:rFonts w:asciiTheme="minorHAnsi" w:hAnsiTheme="minorHAnsi" w:cs="Arial"/>
          <w:color w:val="auto"/>
          <w:sz w:val="22"/>
          <w:szCs w:val="22"/>
        </w:rPr>
        <w:t>)</w:t>
      </w:r>
    </w:p>
    <w:p w:rsidR="00930F05" w:rsidRPr="00930F05" w:rsidRDefault="00930F05" w:rsidP="00930F05">
      <w:pPr>
        <w:pStyle w:val="Default"/>
        <w:ind w:left="720"/>
        <w:rPr>
          <w:rFonts w:asciiTheme="minorHAnsi" w:hAnsiTheme="minorHAnsi" w:cs="Arial"/>
          <w:color w:val="auto"/>
          <w:sz w:val="22"/>
          <w:szCs w:val="22"/>
        </w:rPr>
      </w:pPr>
    </w:p>
    <w:p w:rsidR="00D9516B" w:rsidRPr="0098405B" w:rsidRDefault="00E2526C" w:rsidP="0098405B">
      <w:pPr>
        <w:ind w:left="360"/>
        <w:rPr>
          <w:rFonts w:cs="Arial"/>
          <w:szCs w:val="24"/>
        </w:rPr>
      </w:pPr>
      <w:r>
        <w:rPr>
          <w:rFonts w:cs="Arial"/>
          <w:szCs w:val="24"/>
        </w:rPr>
        <w:t xml:space="preserve">It does </w:t>
      </w:r>
      <w:r w:rsidR="002A1B22">
        <w:rPr>
          <w:rFonts w:cs="Arial"/>
          <w:szCs w:val="24"/>
        </w:rPr>
        <w:t>not include gifts and endowments without a specific purpose</w:t>
      </w:r>
      <w:r w:rsidR="00877267">
        <w:rPr>
          <w:rFonts w:cs="Arial"/>
          <w:szCs w:val="24"/>
        </w:rPr>
        <w:t xml:space="preserve"> as these could be used for many purposes.</w:t>
      </w:r>
    </w:p>
    <w:p w:rsidR="00D9516B" w:rsidRDefault="00D9516B" w:rsidP="00D951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Percentage of </w:t>
      </w:r>
      <w:r w:rsidR="007906B6">
        <w:rPr>
          <w:b/>
          <w:sz w:val="24"/>
          <w:szCs w:val="24"/>
        </w:rPr>
        <w:t>F&amp;A</w:t>
      </w:r>
      <w:r>
        <w:rPr>
          <w:b/>
          <w:sz w:val="24"/>
          <w:szCs w:val="24"/>
        </w:rPr>
        <w:t xml:space="preserve"> dollars returned:</w:t>
      </w:r>
    </w:p>
    <w:p w:rsidR="00D9516B" w:rsidRDefault="00D9516B" w:rsidP="00D9516B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percent of </w:t>
      </w:r>
      <w:r w:rsidR="007906B6">
        <w:rPr>
          <w:rFonts w:cs="Arial"/>
          <w:szCs w:val="24"/>
        </w:rPr>
        <w:t>F&amp;A</w:t>
      </w:r>
      <w:r>
        <w:rPr>
          <w:rFonts w:cs="Arial"/>
          <w:szCs w:val="24"/>
        </w:rPr>
        <w:t xml:space="preserve"> dollars returned to the departments </w:t>
      </w:r>
      <w:r w:rsidR="00F6202D">
        <w:rPr>
          <w:rFonts w:cs="Arial"/>
          <w:szCs w:val="24"/>
        </w:rPr>
        <w:t>was</w:t>
      </w:r>
      <w:r>
        <w:rPr>
          <w:rFonts w:cs="Arial"/>
          <w:szCs w:val="24"/>
        </w:rPr>
        <w:t xml:space="preserve"> determined in </w:t>
      </w:r>
      <w:r w:rsidR="0098405B">
        <w:rPr>
          <w:rFonts w:cs="Arial"/>
          <w:szCs w:val="24"/>
        </w:rPr>
        <w:t>FY20 and will remain constant through FY25</w:t>
      </w:r>
      <w:r>
        <w:rPr>
          <w:rFonts w:cs="Arial"/>
          <w:szCs w:val="24"/>
        </w:rPr>
        <w:t xml:space="preserve">.  The percentage is calculated by equating the total rent charged in the model to the </w:t>
      </w:r>
      <w:r w:rsidR="007906B6">
        <w:rPr>
          <w:rFonts w:cs="Arial"/>
          <w:szCs w:val="24"/>
        </w:rPr>
        <w:t>F&amp;A</w:t>
      </w:r>
      <w:r>
        <w:rPr>
          <w:rFonts w:cs="Arial"/>
          <w:szCs w:val="24"/>
        </w:rPr>
        <w:t xml:space="preserve"> dollars returned.  </w:t>
      </w:r>
    </w:p>
    <w:p w:rsidR="00D9516B" w:rsidRPr="00D9516B" w:rsidRDefault="00D9516B" w:rsidP="00D9516B">
      <w:pPr>
        <w:rPr>
          <w:rFonts w:cs="Arial"/>
          <w:sz w:val="14"/>
          <w:szCs w:val="24"/>
        </w:rPr>
      </w:pPr>
      <m:oMathPara>
        <m:oMath>
          <m:r>
            <w:rPr>
              <w:rFonts w:ascii="Cambria Math" w:eastAsiaTheme="minorEastAsia" w:hAnsi="Cambria Math"/>
              <w:color w:val="4F81BD" w:themeColor="accent1"/>
              <w:sz w:val="24"/>
              <w:szCs w:val="40"/>
            </w:rPr>
            <m:t>% F&amp;A Returned = 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  <w:color w:val="4F81BD" w:themeColor="accent1"/>
                  <w:sz w:val="24"/>
                  <w:szCs w:val="4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4F81BD" w:themeColor="accent1"/>
                  <w:sz w:val="24"/>
                  <w:szCs w:val="40"/>
                </w:rPr>
                <m:t>Total Rent Projected -7% for Space Bank</m:t>
              </m:r>
            </m:num>
            <m:den>
              <m:r>
                <w:rPr>
                  <w:rFonts w:ascii="Cambria Math" w:eastAsiaTheme="minorEastAsia" w:hAnsi="Cambria Math"/>
                  <w:color w:val="4F81BD" w:themeColor="accent1"/>
                  <w:sz w:val="24"/>
                  <w:szCs w:val="40"/>
                </w:rPr>
                <m:t>Total Wet Lab F&amp;A Projected</m:t>
              </m:r>
            </m:den>
          </m:f>
        </m:oMath>
      </m:oMathPara>
    </w:p>
    <w:p w:rsidR="00D9516B" w:rsidRPr="00D9516B" w:rsidRDefault="0098405B" w:rsidP="00D9516B">
      <w:pPr>
        <w:rPr>
          <w:rFonts w:cs="Arial"/>
          <w:szCs w:val="24"/>
        </w:rPr>
      </w:pPr>
      <w:r>
        <w:rPr>
          <w:rFonts w:cs="Arial"/>
          <w:szCs w:val="24"/>
        </w:rPr>
        <w:t>The distribution rate will be reviewed by the Space Committee in the case of an event that would significantly change the distribution.</w:t>
      </w:r>
    </w:p>
    <w:p w:rsidR="0098405B" w:rsidRDefault="0098405B" w:rsidP="002E5FD3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Methodology:</w:t>
      </w:r>
    </w:p>
    <w:p w:rsidR="00F6202D" w:rsidRDefault="005070B6" w:rsidP="00F6202D">
      <w:pPr>
        <w:pStyle w:val="ListParagraph"/>
        <w:numPr>
          <w:ilvl w:val="0"/>
          <w:numId w:val="25"/>
        </w:numPr>
      </w:pPr>
      <w:r>
        <w:t>Space changes</w:t>
      </w:r>
      <w:r w:rsidR="00F6202D">
        <w:t xml:space="preserve"> and F&amp;A funds</w:t>
      </w:r>
      <w:r>
        <w:t xml:space="preserve"> are tracked </w:t>
      </w:r>
      <w:r w:rsidR="00E2526C">
        <w:t>every month</w:t>
      </w:r>
      <w:r>
        <w:t xml:space="preserve"> </w:t>
      </w:r>
    </w:p>
    <w:p w:rsidR="00F6202D" w:rsidRDefault="00F6202D" w:rsidP="00F6202D">
      <w:pPr>
        <w:pStyle w:val="ListParagraph"/>
        <w:numPr>
          <w:ilvl w:val="0"/>
          <w:numId w:val="25"/>
        </w:numPr>
      </w:pPr>
      <w:r>
        <w:t xml:space="preserve">Rent </w:t>
      </w:r>
      <w:r w:rsidR="005070B6">
        <w:t>rates (O&amp;M)</w:t>
      </w:r>
      <w:r w:rsidR="0098405B">
        <w:t xml:space="preserve"> </w:t>
      </w:r>
      <w:r w:rsidR="005070B6">
        <w:t>are</w:t>
      </w:r>
      <w:r w:rsidR="0098405B">
        <w:t xml:space="preserve"> projected at the beginning of the fiscal year</w:t>
      </w:r>
      <w:r w:rsidR="005070B6">
        <w:t xml:space="preserve"> and</w:t>
      </w:r>
      <w:r w:rsidR="0098405B">
        <w:t xml:space="preserve"> trued up annuall</w:t>
      </w:r>
      <w:r>
        <w:t>y the following fiscal year</w:t>
      </w:r>
      <w:r w:rsidR="005070B6">
        <w:t xml:space="preserve"> </w:t>
      </w:r>
    </w:p>
    <w:p w:rsidR="0098405B" w:rsidRPr="0098405B" w:rsidRDefault="0098405B" w:rsidP="00F6202D">
      <w:pPr>
        <w:pStyle w:val="ListParagraph"/>
        <w:numPr>
          <w:ilvl w:val="0"/>
          <w:numId w:val="25"/>
        </w:numPr>
      </w:pPr>
      <w:r>
        <w:t xml:space="preserve">The amount owed or charged </w:t>
      </w:r>
      <w:r w:rsidR="00F6202D">
        <w:t>is</w:t>
      </w:r>
      <w:r>
        <w:t xml:space="preserve"> billed to </w:t>
      </w:r>
      <w:r w:rsidR="00C309F7">
        <w:t xml:space="preserve">the </w:t>
      </w:r>
      <w:r w:rsidR="00E2526C">
        <w:t xml:space="preserve">department's </w:t>
      </w:r>
      <w:r w:rsidR="00C309F7">
        <w:t xml:space="preserve">operating fund </w:t>
      </w:r>
      <w:r w:rsidR="00E2526C">
        <w:t>quarterly</w:t>
      </w:r>
      <w:r w:rsidR="00C309F7">
        <w:t xml:space="preserve">. </w:t>
      </w: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7165DD" w:rsidRDefault="007165DD" w:rsidP="005B2834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 w:rsidRPr="00712770">
        <w:rPr>
          <w:rFonts w:ascii="Arial" w:hAnsi="Arial" w:cs="Arial"/>
          <w:b/>
          <w:sz w:val="24"/>
          <w:szCs w:val="24"/>
        </w:rPr>
        <w:t>Program Resources and Contacts:</w:t>
      </w:r>
    </w:p>
    <w:p w:rsidR="00877267" w:rsidRDefault="00877267" w:rsidP="008772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877267" w:rsidRPr="00712770" w:rsidRDefault="00C309F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Vicky Fraser</w:t>
      </w:r>
      <w:r w:rsidR="00877267" w:rsidRPr="00712770">
        <w:rPr>
          <w:rFonts w:ascii="Arial" w:hAnsi="Arial" w:cs="Arial"/>
          <w:b/>
          <w:szCs w:val="24"/>
        </w:rPr>
        <w:t xml:space="preserve">, Chair, EF Space Committee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 w:firstLine="6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>Policy Guidance, Approvals, Sub-Committee Management</w:t>
      </w:r>
      <w:r w:rsidRPr="00712770">
        <w:rPr>
          <w:rFonts w:ascii="Arial" w:hAnsi="Arial" w:cs="Arial"/>
          <w:szCs w:val="24"/>
        </w:rPr>
        <w:tab/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1350" w:firstLine="9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 xml:space="preserve">314 </w:t>
      </w:r>
      <w:r w:rsidR="00C309F7">
        <w:rPr>
          <w:rFonts w:ascii="Arial" w:hAnsi="Arial" w:cs="Arial"/>
          <w:szCs w:val="24"/>
        </w:rPr>
        <w:t>362-8061</w:t>
      </w:r>
      <w:r w:rsidRPr="00712770">
        <w:rPr>
          <w:rFonts w:ascii="Arial" w:hAnsi="Arial" w:cs="Arial"/>
          <w:szCs w:val="24"/>
        </w:rPr>
        <w:t xml:space="preserve"> </w:t>
      </w:r>
      <w:hyperlink r:id="rId9" w:history="1">
        <w:r w:rsidR="00C309F7" w:rsidRPr="00966285">
          <w:rPr>
            <w:rStyle w:val="Hyperlink"/>
            <w:rFonts w:ascii="Arial" w:hAnsi="Arial" w:cs="Arial"/>
            <w:szCs w:val="24"/>
          </w:rPr>
          <w:t>vfraser@wustl.edu</w:t>
        </w:r>
      </w:hyperlink>
      <w:r w:rsidRPr="00712770"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b/>
          <w:szCs w:val="24"/>
        </w:rPr>
        <w:t xml:space="preserve">Rick Stanton </w:t>
      </w:r>
      <w:r>
        <w:rPr>
          <w:rFonts w:ascii="Arial" w:hAnsi="Arial" w:cs="Arial"/>
          <w:b/>
          <w:szCs w:val="24"/>
        </w:rPr>
        <w:t>–</w:t>
      </w:r>
      <w:r w:rsidRPr="007127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Finance Oversight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770">
        <w:rPr>
          <w:rFonts w:ascii="Arial" w:hAnsi="Arial" w:cs="Arial"/>
          <w:szCs w:val="24"/>
        </w:rPr>
        <w:t xml:space="preserve">314 362-1218 </w:t>
      </w:r>
      <w:hyperlink r:id="rId10" w:history="1">
        <w:r w:rsidRPr="00712770">
          <w:rPr>
            <w:rStyle w:val="Hyperlink"/>
            <w:rFonts w:ascii="Arial" w:hAnsi="Arial" w:cs="Arial"/>
            <w:szCs w:val="24"/>
          </w:rPr>
          <w:t>richard.stanton@wustl.edu</w:t>
        </w:r>
      </w:hyperlink>
    </w:p>
    <w:p w:rsidR="00877267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Brent Ray</w:t>
      </w:r>
      <w:r w:rsidRPr="007127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</w:t>
      </w:r>
      <w:r w:rsidRPr="007127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IDR Distribution</w:t>
      </w:r>
    </w:p>
    <w:p w:rsidR="00877267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Style w:val="Hyperlink"/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770">
        <w:rPr>
          <w:rFonts w:ascii="Arial" w:hAnsi="Arial" w:cs="Arial"/>
          <w:szCs w:val="24"/>
        </w:rPr>
        <w:t xml:space="preserve">314 </w:t>
      </w:r>
      <w:r>
        <w:rPr>
          <w:rFonts w:ascii="Arial" w:hAnsi="Arial" w:cs="Arial"/>
          <w:szCs w:val="24"/>
        </w:rPr>
        <w:t>273-2699</w:t>
      </w:r>
      <w:r w:rsidRPr="00712770">
        <w:rPr>
          <w:rFonts w:ascii="Arial" w:hAnsi="Arial" w:cs="Arial"/>
          <w:szCs w:val="24"/>
        </w:rPr>
        <w:t xml:space="preserve"> </w:t>
      </w:r>
      <w:hyperlink r:id="rId11" w:history="1">
        <w:r w:rsidRPr="00487535">
          <w:rPr>
            <w:rStyle w:val="Hyperlink"/>
            <w:rFonts w:ascii="Arial" w:hAnsi="Arial" w:cs="Arial"/>
            <w:szCs w:val="24"/>
          </w:rPr>
          <w:t>rayb@wustl.edu</w:t>
        </w:r>
      </w:hyperlink>
      <w:r w:rsidRPr="00C57416">
        <w:rPr>
          <w:rStyle w:val="Hyperlink"/>
          <w:rFonts w:ascii="Arial" w:hAnsi="Arial" w:cs="Arial"/>
          <w:szCs w:val="24"/>
        </w:rPr>
        <w:t xml:space="preserve"> </w:t>
      </w:r>
      <w:r w:rsidRPr="00712770"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Michele Grunwald</w:t>
      </w:r>
      <w:r w:rsidRPr="00712770">
        <w:rPr>
          <w:rFonts w:ascii="Arial" w:hAnsi="Arial" w:cs="Arial"/>
          <w:b/>
          <w:szCs w:val="24"/>
        </w:rPr>
        <w:t xml:space="preserve"> - </w:t>
      </w:r>
      <w:r w:rsidRPr="00712770">
        <w:rPr>
          <w:rFonts w:ascii="Arial" w:hAnsi="Arial" w:cs="Arial"/>
          <w:szCs w:val="24"/>
        </w:rPr>
        <w:t>DCM Space Charges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 w:firstLine="720"/>
        <w:contextualSpacing/>
        <w:rPr>
          <w:rFonts w:ascii="Arial" w:hAnsi="Arial" w:cs="Arial"/>
          <w:szCs w:val="24"/>
        </w:rPr>
      </w:pPr>
      <w:r w:rsidRPr="00C57416">
        <w:rPr>
          <w:rFonts w:ascii="Arial" w:hAnsi="Arial" w:cs="Arial"/>
          <w:szCs w:val="24"/>
        </w:rPr>
        <w:t>314</w:t>
      </w:r>
      <w:r>
        <w:rPr>
          <w:rFonts w:ascii="Arial" w:hAnsi="Arial" w:cs="Arial"/>
          <w:szCs w:val="24"/>
        </w:rPr>
        <w:t xml:space="preserve"> </w:t>
      </w:r>
      <w:r w:rsidRPr="00C57416">
        <w:rPr>
          <w:rFonts w:ascii="Arial" w:hAnsi="Arial" w:cs="Arial"/>
          <w:szCs w:val="24"/>
        </w:rPr>
        <w:t>362</w:t>
      </w:r>
      <w:r>
        <w:rPr>
          <w:rFonts w:ascii="Arial" w:hAnsi="Arial" w:cs="Arial"/>
          <w:szCs w:val="24"/>
        </w:rPr>
        <w:t>-</w:t>
      </w:r>
      <w:r w:rsidRPr="00C57416">
        <w:rPr>
          <w:rFonts w:ascii="Arial" w:hAnsi="Arial" w:cs="Arial"/>
          <w:szCs w:val="24"/>
        </w:rPr>
        <w:t>3704</w:t>
      </w:r>
      <w:r w:rsidRPr="00712770">
        <w:rPr>
          <w:rFonts w:ascii="Arial" w:hAnsi="Arial" w:cs="Arial"/>
          <w:szCs w:val="24"/>
        </w:rPr>
        <w:t xml:space="preserve"> </w:t>
      </w:r>
      <w:hyperlink r:id="rId12" w:history="1">
        <w:r w:rsidRPr="00C57416">
          <w:rPr>
            <w:rStyle w:val="Hyperlink"/>
            <w:rFonts w:ascii="Arial" w:hAnsi="Arial" w:cs="Arial"/>
            <w:szCs w:val="24"/>
          </w:rPr>
          <w:t>grunwaldm@wustl.edu</w:t>
        </w:r>
      </w:hyperlink>
      <w:r w:rsidRPr="00C57416">
        <w:rPr>
          <w:rStyle w:val="Hyperlink"/>
          <w:rFonts w:ascii="Arial" w:hAnsi="Arial" w:cs="Arial"/>
          <w:szCs w:val="24"/>
        </w:rPr>
        <w:t xml:space="preserve"> </w:t>
      </w:r>
      <w:r w:rsidRPr="00712770"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b/>
          <w:szCs w:val="24"/>
        </w:rPr>
        <w:t xml:space="preserve">Melissa Hopkins - </w:t>
      </w:r>
      <w:r w:rsidRPr="00712770">
        <w:rPr>
          <w:rFonts w:ascii="Arial" w:hAnsi="Arial" w:cs="Arial"/>
          <w:szCs w:val="24"/>
        </w:rPr>
        <w:t>EF Space Committee Support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 w:firstLine="72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 xml:space="preserve">314 362-4970 </w:t>
      </w:r>
      <w:hyperlink r:id="rId13" w:history="1">
        <w:r w:rsidRPr="00712770">
          <w:rPr>
            <w:rStyle w:val="Hyperlink"/>
            <w:rFonts w:ascii="Arial" w:hAnsi="Arial" w:cs="Arial"/>
            <w:szCs w:val="24"/>
          </w:rPr>
          <w:t>hopkinsm@wustl.edu</w:t>
        </w:r>
      </w:hyperlink>
      <w:r w:rsidRPr="00712770"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  <w:r w:rsidRPr="00712770">
        <w:rPr>
          <w:rFonts w:ascii="Arial" w:hAnsi="Arial" w:cs="Arial"/>
          <w:b/>
          <w:szCs w:val="24"/>
        </w:rPr>
        <w:t xml:space="preserve">Kelsy Haddock </w:t>
      </w:r>
      <w:r>
        <w:rPr>
          <w:rFonts w:ascii="Arial" w:hAnsi="Arial" w:cs="Arial"/>
          <w:b/>
          <w:szCs w:val="24"/>
        </w:rPr>
        <w:t>–</w:t>
      </w:r>
      <w:r w:rsidRPr="00712770">
        <w:rPr>
          <w:rFonts w:ascii="Arial" w:hAnsi="Arial" w:cs="Arial"/>
          <w:b/>
          <w:szCs w:val="24"/>
        </w:rPr>
        <w:t xml:space="preserve"> </w:t>
      </w:r>
      <w:r w:rsidRPr="005070B6">
        <w:rPr>
          <w:rFonts w:ascii="Arial" w:hAnsi="Arial" w:cs="Arial"/>
          <w:szCs w:val="24"/>
        </w:rPr>
        <w:t>EF Space Committee Support</w:t>
      </w:r>
      <w:r>
        <w:rPr>
          <w:rFonts w:ascii="Arial" w:hAnsi="Arial" w:cs="Arial"/>
          <w:b/>
          <w:szCs w:val="24"/>
        </w:rPr>
        <w:t xml:space="preserve">, </w:t>
      </w:r>
      <w:r>
        <w:rPr>
          <w:rFonts w:ascii="Arial" w:hAnsi="Arial" w:cs="Arial"/>
          <w:szCs w:val="24"/>
        </w:rPr>
        <w:t>Space Decommissioning</w:t>
      </w:r>
      <w:r w:rsidR="00E2526C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Return</w:t>
      </w:r>
    </w:p>
    <w:p w:rsidR="00877267" w:rsidRDefault="00877267" w:rsidP="00877267">
      <w:pPr>
        <w:widowControl w:val="0"/>
        <w:autoSpaceDE w:val="0"/>
        <w:autoSpaceDN w:val="0"/>
        <w:adjustRightInd w:val="0"/>
        <w:ind w:left="630" w:firstLine="72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>314 362-</w:t>
      </w:r>
      <w:r>
        <w:rPr>
          <w:rFonts w:ascii="Arial" w:hAnsi="Arial" w:cs="Arial"/>
          <w:szCs w:val="24"/>
        </w:rPr>
        <w:t>3931</w:t>
      </w:r>
      <w:r w:rsidRPr="00712770">
        <w:rPr>
          <w:rFonts w:ascii="Arial" w:hAnsi="Arial" w:cs="Arial"/>
          <w:szCs w:val="24"/>
        </w:rPr>
        <w:t xml:space="preserve"> </w:t>
      </w:r>
      <w:hyperlink r:id="rId14" w:history="1">
        <w:r w:rsidRPr="006406BF">
          <w:rPr>
            <w:rStyle w:val="Hyperlink"/>
            <w:rFonts w:ascii="Arial" w:hAnsi="Arial" w:cs="Arial"/>
            <w:szCs w:val="24"/>
          </w:rPr>
          <w:t>haddockk@wustl.edu</w:t>
        </w:r>
      </w:hyperlink>
      <w:r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F6202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Cs w:val="24"/>
        </w:rPr>
      </w:pPr>
    </w:p>
    <w:p w:rsidR="00877267" w:rsidRPr="00712770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  <w:r w:rsidRPr="00712770">
        <w:rPr>
          <w:rFonts w:ascii="Arial" w:hAnsi="Arial" w:cs="Arial"/>
          <w:b/>
          <w:szCs w:val="24"/>
        </w:rPr>
        <w:t xml:space="preserve">Cheryl Kilwin - </w:t>
      </w:r>
      <w:r w:rsidRPr="00712770">
        <w:rPr>
          <w:rFonts w:ascii="Arial" w:hAnsi="Arial" w:cs="Arial"/>
          <w:szCs w:val="24"/>
        </w:rPr>
        <w:t>Space Utilization Change Requests</w:t>
      </w:r>
    </w:p>
    <w:p w:rsidR="00877267" w:rsidRDefault="00877267" w:rsidP="00877267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770">
        <w:rPr>
          <w:rFonts w:ascii="Arial" w:hAnsi="Arial" w:cs="Arial"/>
          <w:szCs w:val="24"/>
        </w:rPr>
        <w:t xml:space="preserve">314 362-8317 </w:t>
      </w:r>
      <w:hyperlink r:id="rId15" w:history="1">
        <w:r w:rsidRPr="00712770">
          <w:rPr>
            <w:rStyle w:val="Hyperlink"/>
            <w:rFonts w:ascii="Arial" w:hAnsi="Arial" w:cs="Arial"/>
            <w:szCs w:val="24"/>
          </w:rPr>
          <w:t>kilwinc@wustl.edu</w:t>
        </w:r>
      </w:hyperlink>
      <w:r w:rsidRPr="00712770">
        <w:rPr>
          <w:rFonts w:ascii="Arial" w:hAnsi="Arial" w:cs="Arial"/>
          <w:szCs w:val="24"/>
        </w:rPr>
        <w:t xml:space="preserve"> </w:t>
      </w:r>
    </w:p>
    <w:p w:rsidR="00877267" w:rsidRPr="00712770" w:rsidRDefault="00877267" w:rsidP="008772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:rsidR="007B236F" w:rsidRPr="00712770" w:rsidRDefault="007B236F" w:rsidP="007B236F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Emma Snyder</w:t>
      </w:r>
      <w:r w:rsidRPr="007127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–</w:t>
      </w:r>
      <w:r w:rsidRPr="0071277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Real Estate and Lease Agreements</w:t>
      </w:r>
    </w:p>
    <w:p w:rsidR="007B236F" w:rsidRDefault="007B236F" w:rsidP="007B236F">
      <w:pPr>
        <w:widowControl w:val="0"/>
        <w:autoSpaceDE w:val="0"/>
        <w:autoSpaceDN w:val="0"/>
        <w:adjustRightInd w:val="0"/>
        <w:ind w:left="630"/>
        <w:contextualSpacing/>
        <w:rPr>
          <w:rFonts w:ascii="Arial" w:hAnsi="Arial" w:cs="Arial"/>
          <w:szCs w:val="24"/>
        </w:rPr>
      </w:pPr>
      <w:r w:rsidRPr="00712770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12770">
        <w:rPr>
          <w:rFonts w:ascii="Arial" w:hAnsi="Arial" w:cs="Arial"/>
          <w:szCs w:val="24"/>
        </w:rPr>
        <w:t xml:space="preserve">314 </w:t>
      </w:r>
      <w:r>
        <w:rPr>
          <w:rFonts w:ascii="Arial" w:hAnsi="Arial" w:cs="Arial"/>
          <w:szCs w:val="24"/>
        </w:rPr>
        <w:t xml:space="preserve">362-7748 </w:t>
      </w:r>
      <w:hyperlink r:id="rId16" w:history="1">
        <w:r w:rsidRPr="00750BD7">
          <w:rPr>
            <w:rStyle w:val="Hyperlink"/>
            <w:rFonts w:ascii="Arial" w:hAnsi="Arial" w:cs="Arial"/>
            <w:szCs w:val="24"/>
          </w:rPr>
          <w:t>eksnyder@wustl.edu</w:t>
        </w:r>
      </w:hyperlink>
      <w:r>
        <w:rPr>
          <w:rFonts w:ascii="Arial" w:hAnsi="Arial" w:cs="Arial"/>
          <w:szCs w:val="24"/>
        </w:rPr>
        <w:t xml:space="preserve"> </w:t>
      </w:r>
    </w:p>
    <w:p w:rsidR="00877267" w:rsidRDefault="00877267" w:rsidP="007B236F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877267" w:rsidRDefault="00877267" w:rsidP="00877267">
      <w:pPr>
        <w:widowControl w:val="0"/>
        <w:autoSpaceDE w:val="0"/>
        <w:autoSpaceDN w:val="0"/>
        <w:adjustRightInd w:val="0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877267" w:rsidRDefault="00877267" w:rsidP="008772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Link to Departmental Rent for Space Reports</w:t>
      </w:r>
      <w:r w:rsidRPr="005B2834">
        <w:rPr>
          <w:rFonts w:ascii="Arial" w:hAnsi="Arial" w:cs="Arial"/>
          <w:b/>
          <w:sz w:val="24"/>
          <w:szCs w:val="24"/>
        </w:rPr>
        <w:t>:</w:t>
      </w:r>
    </w:p>
    <w:p w:rsidR="00877267" w:rsidRDefault="00877267" w:rsidP="00877267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z w:val="24"/>
          <w:szCs w:val="24"/>
        </w:rPr>
      </w:pPr>
    </w:p>
    <w:p w:rsidR="00DF7E86" w:rsidRDefault="00877267" w:rsidP="00877267">
      <w:pPr>
        <w:widowControl w:val="0"/>
        <w:autoSpaceDE w:val="0"/>
        <w:autoSpaceDN w:val="0"/>
        <w:adjustRightInd w:val="0"/>
        <w:ind w:firstLine="720"/>
        <w:contextualSpacing/>
      </w:pPr>
      <w:r w:rsidRPr="007165DD">
        <w:rPr>
          <w:rStyle w:val="Hyperlink"/>
          <w:rFonts w:ascii="Arial" w:hAnsi="Arial" w:cs="Arial"/>
          <w:sz w:val="24"/>
        </w:rPr>
        <w:t>https://wustl.box.com/v/rentforlabspace</w:t>
      </w:r>
    </w:p>
    <w:sectPr w:rsidR="00DF7E86" w:rsidSect="00FE6261">
      <w:footerReference w:type="default" r:id="rId1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98" w:rsidRDefault="009F5B98" w:rsidP="000313F3">
      <w:pPr>
        <w:spacing w:after="0" w:line="240" w:lineRule="auto"/>
      </w:pPr>
      <w:r>
        <w:separator/>
      </w:r>
    </w:p>
  </w:endnote>
  <w:endnote w:type="continuationSeparator" w:id="0">
    <w:p w:rsidR="009F5B98" w:rsidRDefault="009F5B98" w:rsidP="0003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1887546"/>
      <w:docPartObj>
        <w:docPartGallery w:val="Page Numbers (Bottom of Page)"/>
        <w:docPartUnique/>
      </w:docPartObj>
    </w:sdtPr>
    <w:sdtEndPr/>
    <w:sdtContent>
      <w:p w:rsidR="00AE493E" w:rsidRDefault="00AE493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9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AE493E" w:rsidRDefault="00AE49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98" w:rsidRDefault="009F5B98" w:rsidP="000313F3">
      <w:pPr>
        <w:spacing w:after="0" w:line="240" w:lineRule="auto"/>
      </w:pPr>
      <w:r>
        <w:separator/>
      </w:r>
    </w:p>
  </w:footnote>
  <w:footnote w:type="continuationSeparator" w:id="0">
    <w:p w:rsidR="009F5B98" w:rsidRDefault="009F5B98" w:rsidP="00031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1541"/>
    <w:multiLevelType w:val="hybridMultilevel"/>
    <w:tmpl w:val="034A91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7207"/>
    <w:multiLevelType w:val="hybridMultilevel"/>
    <w:tmpl w:val="8BE67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700D"/>
    <w:multiLevelType w:val="hybridMultilevel"/>
    <w:tmpl w:val="FC70DB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3F56E7"/>
    <w:multiLevelType w:val="hybridMultilevel"/>
    <w:tmpl w:val="371230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0B5418"/>
    <w:multiLevelType w:val="hybridMultilevel"/>
    <w:tmpl w:val="A984A7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462B5"/>
    <w:multiLevelType w:val="hybridMultilevel"/>
    <w:tmpl w:val="0026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56F30"/>
    <w:multiLevelType w:val="hybridMultilevel"/>
    <w:tmpl w:val="532E6494"/>
    <w:lvl w:ilvl="0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7" w15:restartNumberingAfterBreak="0">
    <w:nsid w:val="22FE203F"/>
    <w:multiLevelType w:val="hybridMultilevel"/>
    <w:tmpl w:val="9B9EA7CE"/>
    <w:lvl w:ilvl="0" w:tplc="1C345BC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37EC4"/>
    <w:multiLevelType w:val="hybridMultilevel"/>
    <w:tmpl w:val="4F8E6918"/>
    <w:lvl w:ilvl="0" w:tplc="1C345B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27BB"/>
    <w:multiLevelType w:val="hybridMultilevel"/>
    <w:tmpl w:val="F0523766"/>
    <w:lvl w:ilvl="0" w:tplc="B99E90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E1EF9"/>
    <w:multiLevelType w:val="hybridMultilevel"/>
    <w:tmpl w:val="FEB2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1229FD"/>
    <w:multiLevelType w:val="hybridMultilevel"/>
    <w:tmpl w:val="02CE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A4995"/>
    <w:multiLevelType w:val="hybridMultilevel"/>
    <w:tmpl w:val="3CE6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A1DD3"/>
    <w:multiLevelType w:val="hybridMultilevel"/>
    <w:tmpl w:val="C0B21AA0"/>
    <w:lvl w:ilvl="0" w:tplc="0409000F">
      <w:start w:val="1"/>
      <w:numFmt w:val="decimal"/>
      <w:lvlText w:val="%1."/>
      <w:lvlJc w:val="left"/>
      <w:pPr>
        <w:ind w:left="3424" w:hanging="360"/>
      </w:pPr>
    </w:lvl>
    <w:lvl w:ilvl="1" w:tplc="04090019">
      <w:start w:val="1"/>
      <w:numFmt w:val="lowerLetter"/>
      <w:lvlText w:val="%2."/>
      <w:lvlJc w:val="left"/>
      <w:pPr>
        <w:ind w:left="4144" w:hanging="360"/>
      </w:pPr>
    </w:lvl>
    <w:lvl w:ilvl="2" w:tplc="0409001B" w:tentative="1">
      <w:start w:val="1"/>
      <w:numFmt w:val="lowerRoman"/>
      <w:lvlText w:val="%3."/>
      <w:lvlJc w:val="right"/>
      <w:pPr>
        <w:ind w:left="4864" w:hanging="180"/>
      </w:pPr>
    </w:lvl>
    <w:lvl w:ilvl="3" w:tplc="0409000F" w:tentative="1">
      <w:start w:val="1"/>
      <w:numFmt w:val="decimal"/>
      <w:lvlText w:val="%4."/>
      <w:lvlJc w:val="left"/>
      <w:pPr>
        <w:ind w:left="5584" w:hanging="360"/>
      </w:pPr>
    </w:lvl>
    <w:lvl w:ilvl="4" w:tplc="04090019" w:tentative="1">
      <w:start w:val="1"/>
      <w:numFmt w:val="lowerLetter"/>
      <w:lvlText w:val="%5."/>
      <w:lvlJc w:val="left"/>
      <w:pPr>
        <w:ind w:left="6304" w:hanging="360"/>
      </w:pPr>
    </w:lvl>
    <w:lvl w:ilvl="5" w:tplc="0409001B" w:tentative="1">
      <w:start w:val="1"/>
      <w:numFmt w:val="lowerRoman"/>
      <w:lvlText w:val="%6."/>
      <w:lvlJc w:val="right"/>
      <w:pPr>
        <w:ind w:left="7024" w:hanging="180"/>
      </w:pPr>
    </w:lvl>
    <w:lvl w:ilvl="6" w:tplc="0409000F" w:tentative="1">
      <w:start w:val="1"/>
      <w:numFmt w:val="decimal"/>
      <w:lvlText w:val="%7."/>
      <w:lvlJc w:val="left"/>
      <w:pPr>
        <w:ind w:left="7744" w:hanging="360"/>
      </w:pPr>
    </w:lvl>
    <w:lvl w:ilvl="7" w:tplc="04090019" w:tentative="1">
      <w:start w:val="1"/>
      <w:numFmt w:val="lowerLetter"/>
      <w:lvlText w:val="%8."/>
      <w:lvlJc w:val="left"/>
      <w:pPr>
        <w:ind w:left="8464" w:hanging="360"/>
      </w:pPr>
    </w:lvl>
    <w:lvl w:ilvl="8" w:tplc="0409001B" w:tentative="1">
      <w:start w:val="1"/>
      <w:numFmt w:val="lowerRoman"/>
      <w:lvlText w:val="%9."/>
      <w:lvlJc w:val="right"/>
      <w:pPr>
        <w:ind w:left="9184" w:hanging="180"/>
      </w:pPr>
    </w:lvl>
  </w:abstractNum>
  <w:abstractNum w:abstractNumId="14" w15:restartNumberingAfterBreak="0">
    <w:nsid w:val="4E1E1ADF"/>
    <w:multiLevelType w:val="hybridMultilevel"/>
    <w:tmpl w:val="0E2C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2C8F"/>
    <w:multiLevelType w:val="hybridMultilevel"/>
    <w:tmpl w:val="CA80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967D7"/>
    <w:multiLevelType w:val="hybridMultilevel"/>
    <w:tmpl w:val="CB227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404F58"/>
    <w:multiLevelType w:val="hybridMultilevel"/>
    <w:tmpl w:val="404AA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458C4"/>
    <w:multiLevelType w:val="hybridMultilevel"/>
    <w:tmpl w:val="402EB54A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1F36014"/>
    <w:multiLevelType w:val="hybridMultilevel"/>
    <w:tmpl w:val="37AC2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52B23"/>
    <w:multiLevelType w:val="hybridMultilevel"/>
    <w:tmpl w:val="497CA010"/>
    <w:lvl w:ilvl="0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</w:abstractNum>
  <w:abstractNum w:abstractNumId="21" w15:restartNumberingAfterBreak="0">
    <w:nsid w:val="653B6555"/>
    <w:multiLevelType w:val="hybridMultilevel"/>
    <w:tmpl w:val="8CE24F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A26D86"/>
    <w:multiLevelType w:val="hybridMultilevel"/>
    <w:tmpl w:val="0D2C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C251A"/>
    <w:multiLevelType w:val="hybridMultilevel"/>
    <w:tmpl w:val="0170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55F14"/>
    <w:multiLevelType w:val="hybridMultilevel"/>
    <w:tmpl w:val="8C54FA6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12"/>
  </w:num>
  <w:num w:numId="3">
    <w:abstractNumId w:val="9"/>
  </w:num>
  <w:num w:numId="4">
    <w:abstractNumId w:val="21"/>
  </w:num>
  <w:num w:numId="5">
    <w:abstractNumId w:val="24"/>
  </w:num>
  <w:num w:numId="6">
    <w:abstractNumId w:val="14"/>
  </w:num>
  <w:num w:numId="7">
    <w:abstractNumId w:val="16"/>
  </w:num>
  <w:num w:numId="8">
    <w:abstractNumId w:val="23"/>
  </w:num>
  <w:num w:numId="9">
    <w:abstractNumId w:val="5"/>
  </w:num>
  <w:num w:numId="10">
    <w:abstractNumId w:val="6"/>
  </w:num>
  <w:num w:numId="11">
    <w:abstractNumId w:val="0"/>
  </w:num>
  <w:num w:numId="12">
    <w:abstractNumId w:val="20"/>
  </w:num>
  <w:num w:numId="13">
    <w:abstractNumId w:val="19"/>
  </w:num>
  <w:num w:numId="14">
    <w:abstractNumId w:val="2"/>
  </w:num>
  <w:num w:numId="15">
    <w:abstractNumId w:val="4"/>
  </w:num>
  <w:num w:numId="16">
    <w:abstractNumId w:val="18"/>
  </w:num>
  <w:num w:numId="17">
    <w:abstractNumId w:val="3"/>
  </w:num>
  <w:num w:numId="18">
    <w:abstractNumId w:val="8"/>
  </w:num>
  <w:num w:numId="19">
    <w:abstractNumId w:val="15"/>
  </w:num>
  <w:num w:numId="20">
    <w:abstractNumId w:val="7"/>
  </w:num>
  <w:num w:numId="21">
    <w:abstractNumId w:val="13"/>
  </w:num>
  <w:num w:numId="22">
    <w:abstractNumId w:val="1"/>
  </w:num>
  <w:num w:numId="23">
    <w:abstractNumId w:val="10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zMrC0MDQ0tzQ0NzBV0lEKTi0uzszPAykwrgUAVFCZ1CwAAAA="/>
  </w:docVars>
  <w:rsids>
    <w:rsidRoot w:val="008446F3"/>
    <w:rsid w:val="000168B4"/>
    <w:rsid w:val="000313F3"/>
    <w:rsid w:val="00036356"/>
    <w:rsid w:val="000619D6"/>
    <w:rsid w:val="00061DA2"/>
    <w:rsid w:val="0008665D"/>
    <w:rsid w:val="00090B2D"/>
    <w:rsid w:val="000B5939"/>
    <w:rsid w:val="000B5CB4"/>
    <w:rsid w:val="000B7E1D"/>
    <w:rsid w:val="000E22BD"/>
    <w:rsid w:val="00151A4C"/>
    <w:rsid w:val="00176E21"/>
    <w:rsid w:val="001A68D8"/>
    <w:rsid w:val="001B5C60"/>
    <w:rsid w:val="001D0F5A"/>
    <w:rsid w:val="001E6D24"/>
    <w:rsid w:val="001F4FC4"/>
    <w:rsid w:val="002218AD"/>
    <w:rsid w:val="00224E79"/>
    <w:rsid w:val="00251C94"/>
    <w:rsid w:val="002663CE"/>
    <w:rsid w:val="002A1B22"/>
    <w:rsid w:val="002B7CA9"/>
    <w:rsid w:val="002E1B23"/>
    <w:rsid w:val="002E4F9D"/>
    <w:rsid w:val="002E5FD3"/>
    <w:rsid w:val="0031006F"/>
    <w:rsid w:val="00311660"/>
    <w:rsid w:val="0032566E"/>
    <w:rsid w:val="00331D91"/>
    <w:rsid w:val="003A1AEF"/>
    <w:rsid w:val="003A1AF3"/>
    <w:rsid w:val="003A5C2C"/>
    <w:rsid w:val="003B043C"/>
    <w:rsid w:val="003D125E"/>
    <w:rsid w:val="003D2DE1"/>
    <w:rsid w:val="00427EC1"/>
    <w:rsid w:val="004442F6"/>
    <w:rsid w:val="004A4ED1"/>
    <w:rsid w:val="004A533A"/>
    <w:rsid w:val="004B0E95"/>
    <w:rsid w:val="004B4C43"/>
    <w:rsid w:val="004C41CB"/>
    <w:rsid w:val="004C686D"/>
    <w:rsid w:val="005015C8"/>
    <w:rsid w:val="005070B6"/>
    <w:rsid w:val="00513372"/>
    <w:rsid w:val="00521967"/>
    <w:rsid w:val="00534904"/>
    <w:rsid w:val="00551A7D"/>
    <w:rsid w:val="00576ED2"/>
    <w:rsid w:val="005B2834"/>
    <w:rsid w:val="005C45D4"/>
    <w:rsid w:val="006204C7"/>
    <w:rsid w:val="00630F04"/>
    <w:rsid w:val="00631701"/>
    <w:rsid w:val="00673B14"/>
    <w:rsid w:val="00676203"/>
    <w:rsid w:val="006771E5"/>
    <w:rsid w:val="0068288A"/>
    <w:rsid w:val="006A3F91"/>
    <w:rsid w:val="006B2D75"/>
    <w:rsid w:val="006C3A7C"/>
    <w:rsid w:val="006E0A4E"/>
    <w:rsid w:val="00712770"/>
    <w:rsid w:val="007165DD"/>
    <w:rsid w:val="00755765"/>
    <w:rsid w:val="00761BA5"/>
    <w:rsid w:val="007736E4"/>
    <w:rsid w:val="007906B6"/>
    <w:rsid w:val="007926C1"/>
    <w:rsid w:val="007B236F"/>
    <w:rsid w:val="007C351F"/>
    <w:rsid w:val="007C72D7"/>
    <w:rsid w:val="007E2718"/>
    <w:rsid w:val="00836DEF"/>
    <w:rsid w:val="008446F3"/>
    <w:rsid w:val="00861C21"/>
    <w:rsid w:val="00877267"/>
    <w:rsid w:val="00891ECA"/>
    <w:rsid w:val="00894B40"/>
    <w:rsid w:val="008D1AF4"/>
    <w:rsid w:val="00930F05"/>
    <w:rsid w:val="00932A6F"/>
    <w:rsid w:val="009758DF"/>
    <w:rsid w:val="0098405B"/>
    <w:rsid w:val="009C6B63"/>
    <w:rsid w:val="009D23C3"/>
    <w:rsid w:val="009E407C"/>
    <w:rsid w:val="009F4E69"/>
    <w:rsid w:val="009F5B98"/>
    <w:rsid w:val="00A11BFB"/>
    <w:rsid w:val="00A12998"/>
    <w:rsid w:val="00A14B99"/>
    <w:rsid w:val="00A21711"/>
    <w:rsid w:val="00A251C5"/>
    <w:rsid w:val="00A36C23"/>
    <w:rsid w:val="00A54FC9"/>
    <w:rsid w:val="00A576AD"/>
    <w:rsid w:val="00A75A89"/>
    <w:rsid w:val="00A928CC"/>
    <w:rsid w:val="00AA6C68"/>
    <w:rsid w:val="00AC0076"/>
    <w:rsid w:val="00AC218B"/>
    <w:rsid w:val="00AC447F"/>
    <w:rsid w:val="00AE493E"/>
    <w:rsid w:val="00B151B0"/>
    <w:rsid w:val="00B45AAA"/>
    <w:rsid w:val="00B5320C"/>
    <w:rsid w:val="00B60C41"/>
    <w:rsid w:val="00B64F60"/>
    <w:rsid w:val="00B738AC"/>
    <w:rsid w:val="00B83CB2"/>
    <w:rsid w:val="00B96D51"/>
    <w:rsid w:val="00BA0B0B"/>
    <w:rsid w:val="00BA25C3"/>
    <w:rsid w:val="00BA611F"/>
    <w:rsid w:val="00BF66BC"/>
    <w:rsid w:val="00C06626"/>
    <w:rsid w:val="00C12CE6"/>
    <w:rsid w:val="00C309F7"/>
    <w:rsid w:val="00C52250"/>
    <w:rsid w:val="00C52C89"/>
    <w:rsid w:val="00C540B0"/>
    <w:rsid w:val="00C57416"/>
    <w:rsid w:val="00C73314"/>
    <w:rsid w:val="00C83BED"/>
    <w:rsid w:val="00CA3438"/>
    <w:rsid w:val="00CB69C2"/>
    <w:rsid w:val="00CE4764"/>
    <w:rsid w:val="00CE79DE"/>
    <w:rsid w:val="00D05A32"/>
    <w:rsid w:val="00D20045"/>
    <w:rsid w:val="00D43F91"/>
    <w:rsid w:val="00D47991"/>
    <w:rsid w:val="00D76F46"/>
    <w:rsid w:val="00D83A76"/>
    <w:rsid w:val="00D92CE5"/>
    <w:rsid w:val="00D9516B"/>
    <w:rsid w:val="00DB497A"/>
    <w:rsid w:val="00DC3532"/>
    <w:rsid w:val="00DE0448"/>
    <w:rsid w:val="00DE6726"/>
    <w:rsid w:val="00DF008A"/>
    <w:rsid w:val="00DF08E8"/>
    <w:rsid w:val="00DF54E8"/>
    <w:rsid w:val="00DF62BE"/>
    <w:rsid w:val="00DF75D9"/>
    <w:rsid w:val="00DF7E86"/>
    <w:rsid w:val="00E00623"/>
    <w:rsid w:val="00E2092A"/>
    <w:rsid w:val="00E2526C"/>
    <w:rsid w:val="00E2697A"/>
    <w:rsid w:val="00E33F44"/>
    <w:rsid w:val="00E82CE0"/>
    <w:rsid w:val="00E92ADD"/>
    <w:rsid w:val="00E94F2B"/>
    <w:rsid w:val="00EA704A"/>
    <w:rsid w:val="00EC6BCC"/>
    <w:rsid w:val="00ED51E6"/>
    <w:rsid w:val="00F10AAE"/>
    <w:rsid w:val="00F300AA"/>
    <w:rsid w:val="00F3417F"/>
    <w:rsid w:val="00F4515D"/>
    <w:rsid w:val="00F6202D"/>
    <w:rsid w:val="00F623B0"/>
    <w:rsid w:val="00F62A8C"/>
    <w:rsid w:val="00F64D44"/>
    <w:rsid w:val="00F65E20"/>
    <w:rsid w:val="00F70B86"/>
    <w:rsid w:val="00FA00C2"/>
    <w:rsid w:val="00FC1C50"/>
    <w:rsid w:val="00FC55FF"/>
    <w:rsid w:val="00FD586A"/>
    <w:rsid w:val="00FD7A2B"/>
    <w:rsid w:val="00FE5B77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E50A"/>
  <w15:docId w15:val="{2CF6047B-E313-4789-AD6B-81FA7C32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6F3"/>
  </w:style>
  <w:style w:type="paragraph" w:styleId="Heading1">
    <w:name w:val="heading 1"/>
    <w:basedOn w:val="Normal"/>
    <w:next w:val="Normal"/>
    <w:link w:val="Heading1Char"/>
    <w:qFormat/>
    <w:rsid w:val="00A11BFB"/>
    <w:pPr>
      <w:keepNext/>
      <w:spacing w:after="0" w:line="240" w:lineRule="auto"/>
      <w:outlineLvl w:val="0"/>
    </w:pPr>
    <w:rPr>
      <w:rFonts w:ascii="Arial" w:eastAsia="Times New Roman" w:hAnsi="Arial" w:cs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3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BFB"/>
    <w:pPr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11BFB"/>
    <w:rPr>
      <w:rFonts w:ascii="Times" w:eastAsia="Times New Roman" w:hAnsi="Times" w:cs="Times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1BFB"/>
    <w:rPr>
      <w:rFonts w:ascii="Arial" w:eastAsia="Times New Roman" w:hAnsi="Arial" w:cs="Times New Roman"/>
      <w:i/>
      <w:iCs/>
      <w:szCs w:val="24"/>
    </w:rPr>
  </w:style>
  <w:style w:type="paragraph" w:customStyle="1" w:styleId="Default">
    <w:name w:val="Default"/>
    <w:rsid w:val="00ED5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1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3F3"/>
  </w:style>
  <w:style w:type="table" w:styleId="TableGrid">
    <w:name w:val="Table Grid"/>
    <w:basedOn w:val="TableNormal"/>
    <w:uiPriority w:val="59"/>
    <w:rsid w:val="0050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28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5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opkinsm@wustl.ed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unwaldm@wustl.ed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ksnyder@wustl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yb@wustl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ilwinc@wustl.edu" TargetMode="External"/><Relationship Id="rId10" Type="http://schemas.openxmlformats.org/officeDocument/2006/relationships/hyperlink" Target="mailto:richard.stanton@wustl.ed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vfraser@wustl.edu" TargetMode="External"/><Relationship Id="rId14" Type="http://schemas.openxmlformats.org/officeDocument/2006/relationships/hyperlink" Target="mailto:haddockk@wustl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3EE13825246EFBD34144DB5FA6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B2EA3-12AA-403D-A26C-CCC5CCC581C9}"/>
      </w:docPartPr>
      <w:docPartBody>
        <w:p w:rsidR="00806382" w:rsidRDefault="007F5CF4" w:rsidP="007F5CF4">
          <w:pPr>
            <w:pStyle w:val="3F23EE13825246EFBD34144DB5FA692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4A35766298447DCBA54B36B10629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CA764-3122-406C-B59F-C60C843C2671}"/>
      </w:docPartPr>
      <w:docPartBody>
        <w:p w:rsidR="00806382" w:rsidRDefault="007F5CF4" w:rsidP="007F5CF4">
          <w:pPr>
            <w:pStyle w:val="F4A35766298447DCBA54B36B10629CB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F4"/>
    <w:rsid w:val="00181145"/>
    <w:rsid w:val="0031762B"/>
    <w:rsid w:val="00526BA3"/>
    <w:rsid w:val="007A3953"/>
    <w:rsid w:val="007E7B73"/>
    <w:rsid w:val="007F5CF4"/>
    <w:rsid w:val="00806382"/>
    <w:rsid w:val="008504A9"/>
    <w:rsid w:val="008E2468"/>
    <w:rsid w:val="00A273F5"/>
    <w:rsid w:val="00A7113C"/>
    <w:rsid w:val="00E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23EE13825246EFBD34144DB5FA6929">
    <w:name w:val="3F23EE13825246EFBD34144DB5FA6929"/>
    <w:rsid w:val="007F5CF4"/>
  </w:style>
  <w:style w:type="paragraph" w:customStyle="1" w:styleId="F4A35766298447DCBA54B36B10629CB2">
    <w:name w:val="F4A35766298447DCBA54B36B10629CB2"/>
    <w:rsid w:val="007F5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FY20 Updates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 for Space  101</vt:lpstr>
    </vt:vector>
  </TitlesOfParts>
  <Company>Washington University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 for Space  101</dc:title>
  <dc:creator>test</dc:creator>
  <cp:lastModifiedBy>Haddock, Kelsy</cp:lastModifiedBy>
  <cp:revision>4</cp:revision>
  <cp:lastPrinted>2019-07-10T19:50:00Z</cp:lastPrinted>
  <dcterms:created xsi:type="dcterms:W3CDTF">2021-04-01T21:09:00Z</dcterms:created>
  <dcterms:modified xsi:type="dcterms:W3CDTF">2021-05-18T14:03:00Z</dcterms:modified>
</cp:coreProperties>
</file>